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7A0" w:rsidRPr="00443456" w:rsidRDefault="007B37A0" w:rsidP="00443456">
      <w:pPr>
        <w:spacing w:after="0" w:line="240" w:lineRule="auto"/>
        <w:ind w:firstLine="540"/>
        <w:jc w:val="center"/>
        <w:rPr>
          <w:rFonts w:ascii="Arial Narrow" w:hAnsi="Arial Narrow"/>
          <w:b/>
          <w:sz w:val="28"/>
          <w:szCs w:val="28"/>
        </w:rPr>
      </w:pPr>
      <w:r w:rsidRPr="00443456">
        <w:rPr>
          <w:rFonts w:ascii="Arial Narrow" w:hAnsi="Arial Narrow"/>
          <w:b/>
          <w:sz w:val="28"/>
          <w:szCs w:val="28"/>
        </w:rPr>
        <w:t>Принципът на равно третиране и Съдът на Европейския съюз</w:t>
      </w:r>
    </w:p>
    <w:p w:rsidR="007B37A0" w:rsidRDefault="007B37A0" w:rsidP="00443456">
      <w:pPr>
        <w:spacing w:after="0" w:line="240" w:lineRule="auto"/>
        <w:ind w:firstLine="540"/>
        <w:jc w:val="center"/>
        <w:rPr>
          <w:rFonts w:ascii="Arial Narrow" w:hAnsi="Arial Narrow"/>
          <w:i/>
          <w:sz w:val="24"/>
          <w:szCs w:val="24"/>
        </w:rPr>
      </w:pPr>
    </w:p>
    <w:p w:rsidR="007B37A0" w:rsidRPr="00443456" w:rsidRDefault="007B37A0" w:rsidP="00443456">
      <w:pPr>
        <w:spacing w:after="0" w:line="240" w:lineRule="auto"/>
        <w:ind w:firstLine="540"/>
        <w:jc w:val="center"/>
        <w:rPr>
          <w:rFonts w:ascii="Arial Narrow" w:hAnsi="Arial Narrow"/>
          <w:i/>
          <w:sz w:val="24"/>
          <w:szCs w:val="24"/>
        </w:rPr>
      </w:pPr>
      <w:r w:rsidRPr="00443456">
        <w:rPr>
          <w:rFonts w:ascii="Arial Narrow" w:hAnsi="Arial Narrow"/>
          <w:i/>
          <w:sz w:val="24"/>
          <w:szCs w:val="24"/>
        </w:rPr>
        <w:t xml:space="preserve">Проф. </w:t>
      </w:r>
      <w:proofErr w:type="spellStart"/>
      <w:r w:rsidRPr="00443456">
        <w:rPr>
          <w:rFonts w:ascii="Arial Narrow" w:hAnsi="Arial Narrow"/>
          <w:i/>
          <w:sz w:val="24"/>
          <w:szCs w:val="24"/>
        </w:rPr>
        <w:t>Коен</w:t>
      </w:r>
      <w:proofErr w:type="spellEnd"/>
      <w:r w:rsidRPr="00443456">
        <w:rPr>
          <w:rFonts w:ascii="Arial Narrow" w:hAnsi="Arial Narrow"/>
          <w:i/>
          <w:sz w:val="24"/>
          <w:szCs w:val="24"/>
        </w:rPr>
        <w:t xml:space="preserve"> </w:t>
      </w:r>
      <w:proofErr w:type="spellStart"/>
      <w:r w:rsidRPr="00443456">
        <w:rPr>
          <w:rFonts w:ascii="Arial Narrow" w:hAnsi="Arial Narrow"/>
          <w:i/>
          <w:sz w:val="24"/>
          <w:szCs w:val="24"/>
        </w:rPr>
        <w:t>Ленартс</w:t>
      </w:r>
      <w:proofErr w:type="spellEnd"/>
      <w:r w:rsidRPr="00443456">
        <w:rPr>
          <w:rStyle w:val="a9"/>
          <w:rFonts w:ascii="Arial Narrow" w:hAnsi="Arial Narrow"/>
          <w:i/>
          <w:sz w:val="24"/>
          <w:szCs w:val="24"/>
        </w:rPr>
        <w:footnoteReference w:id="1"/>
      </w:r>
    </w:p>
    <w:p w:rsidR="007B37A0" w:rsidRPr="00443456" w:rsidRDefault="007B37A0" w:rsidP="00443456">
      <w:pPr>
        <w:spacing w:after="0" w:line="240" w:lineRule="auto"/>
        <w:ind w:firstLine="540"/>
        <w:jc w:val="center"/>
        <w:rPr>
          <w:rFonts w:ascii="Arial Narrow" w:hAnsi="Arial Narrow"/>
          <w:sz w:val="24"/>
          <w:szCs w:val="24"/>
        </w:rPr>
      </w:pPr>
      <w:r w:rsidRPr="00443456">
        <w:rPr>
          <w:rFonts w:ascii="Arial Narrow" w:hAnsi="Arial Narrow"/>
          <w:sz w:val="24"/>
          <w:szCs w:val="24"/>
        </w:rPr>
        <w:t>Заместник-председател на Съда на ЕС</w:t>
      </w:r>
    </w:p>
    <w:p w:rsidR="007B37A0" w:rsidRPr="00866C2E" w:rsidRDefault="007B37A0" w:rsidP="00443456">
      <w:pPr>
        <w:spacing w:after="0" w:line="240" w:lineRule="auto"/>
        <w:ind w:firstLine="540"/>
        <w:jc w:val="center"/>
        <w:rPr>
          <w:rFonts w:ascii="Arial Narrow" w:hAnsi="Arial Narrow"/>
          <w:sz w:val="24"/>
          <w:szCs w:val="24"/>
          <w:lang w:val="en-US"/>
        </w:rPr>
      </w:pPr>
      <w:r w:rsidRPr="00443456">
        <w:rPr>
          <w:rFonts w:ascii="Arial Narrow" w:hAnsi="Arial Narrow"/>
          <w:sz w:val="24"/>
          <w:szCs w:val="24"/>
        </w:rPr>
        <w:t>и професор по Право</w:t>
      </w:r>
      <w:r w:rsidR="00866C2E">
        <w:rPr>
          <w:rFonts w:ascii="Arial Narrow" w:hAnsi="Arial Narrow"/>
          <w:sz w:val="24"/>
          <w:szCs w:val="24"/>
        </w:rPr>
        <w:t xml:space="preserve"> на ЕС в Университета на </w:t>
      </w:r>
      <w:proofErr w:type="spellStart"/>
      <w:r w:rsidR="00866C2E">
        <w:rPr>
          <w:rFonts w:ascii="Arial Narrow" w:hAnsi="Arial Narrow"/>
          <w:sz w:val="24"/>
          <w:szCs w:val="24"/>
        </w:rPr>
        <w:t>Льовен</w:t>
      </w:r>
      <w:proofErr w:type="spellEnd"/>
    </w:p>
    <w:p w:rsidR="007B37A0" w:rsidRPr="00443456" w:rsidRDefault="007B37A0" w:rsidP="00443456">
      <w:pPr>
        <w:spacing w:after="0" w:line="240" w:lineRule="auto"/>
        <w:ind w:firstLine="540"/>
        <w:jc w:val="both"/>
        <w:rPr>
          <w:rFonts w:ascii="Arial Narrow" w:hAnsi="Arial Narrow"/>
          <w:sz w:val="24"/>
          <w:szCs w:val="24"/>
        </w:rPr>
      </w:pP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Както Бел отбелязва</w:t>
      </w:r>
      <w:r w:rsidRPr="00036AE2">
        <w:rPr>
          <w:rFonts w:ascii="Arial Narrow" w:hAnsi="Arial Narrow"/>
          <w:sz w:val="24"/>
          <w:szCs w:val="24"/>
          <w:vertAlign w:val="superscript"/>
        </w:rPr>
        <w:t>1</w:t>
      </w:r>
      <w:r w:rsidRPr="00036AE2">
        <w:rPr>
          <w:rFonts w:ascii="Arial Narrow" w:hAnsi="Arial Narrow"/>
          <w:sz w:val="24"/>
          <w:szCs w:val="24"/>
        </w:rPr>
        <w:t xml:space="preserve">, еволюцията на принципа на равно третиране в европейския правен ред се регулира от две различни, макар и взаимно обвързани, движещи сили. От една страна принципът на равно третиране, който първоначално функционира като обединяващ механизъм, постепенно надхвърля своя </w:t>
      </w:r>
      <w:proofErr w:type="spellStart"/>
      <w:r w:rsidRPr="00036AE2">
        <w:rPr>
          <w:rFonts w:ascii="Arial Narrow" w:hAnsi="Arial Narrow"/>
          <w:sz w:val="24"/>
          <w:szCs w:val="24"/>
        </w:rPr>
        <w:t>вътрешнопазарен</w:t>
      </w:r>
      <w:proofErr w:type="spellEnd"/>
      <w:r w:rsidRPr="00036AE2">
        <w:rPr>
          <w:rFonts w:ascii="Arial Narrow" w:hAnsi="Arial Narrow"/>
          <w:sz w:val="24"/>
          <w:szCs w:val="24"/>
        </w:rPr>
        <w:t xml:space="preserve"> генезис. Понастоящем този принцип не само действа като метод за преодоляване на пречките по повод реализирането на свободното движение на хора, стоки, услуги и капитали, но и прилага съдържанието на равноправието, върху което е изграден ЕС.</w:t>
      </w:r>
      <w:r w:rsidRPr="00036AE2">
        <w:rPr>
          <w:rFonts w:ascii="Arial Narrow" w:hAnsi="Arial Narrow"/>
          <w:sz w:val="24"/>
          <w:szCs w:val="24"/>
          <w:vertAlign w:val="superscript"/>
        </w:rPr>
        <w:t>2</w:t>
      </w:r>
      <w:r w:rsidRPr="00036AE2">
        <w:rPr>
          <w:rFonts w:ascii="Arial Narrow" w:hAnsi="Arial Narrow"/>
          <w:sz w:val="24"/>
          <w:szCs w:val="24"/>
        </w:rPr>
        <w:t xml:space="preserve"> За мерки, попадащи в обхвата на Правото на ЕС, принципът забранява дискриминация, основана на пол, раса или етнически произход, религиозни или други схващания, степен на инвалидност, възраст или сексуална ориентация („разширяването на обхвата на принципа на равно третиране“). От друга страна той е дълбоко залегнал в основата на конституционната структура на Съюза. Като главен принцип на Правото на ЕС, неговото съществуване е прокламирано в Хартата на основните права на ЕС („Хартата“)</w:t>
      </w:r>
      <w:r w:rsidRPr="00036AE2">
        <w:rPr>
          <w:rFonts w:ascii="Arial Narrow" w:hAnsi="Arial Narrow"/>
          <w:sz w:val="24"/>
          <w:szCs w:val="24"/>
          <w:vertAlign w:val="superscript"/>
        </w:rPr>
        <w:t>3</w:t>
      </w:r>
      <w:r w:rsidRPr="00036AE2">
        <w:rPr>
          <w:rFonts w:ascii="Arial Narrow" w:hAnsi="Arial Narrow"/>
          <w:sz w:val="24"/>
          <w:szCs w:val="24"/>
        </w:rPr>
        <w:t>; видян е като една от целите, които Съюзът трябва да преследва.</w:t>
      </w:r>
      <w:r w:rsidRPr="00036AE2">
        <w:rPr>
          <w:rFonts w:ascii="Arial Narrow" w:hAnsi="Arial Narrow"/>
          <w:sz w:val="24"/>
          <w:szCs w:val="24"/>
          <w:vertAlign w:val="superscript"/>
        </w:rPr>
        <w:t>4</w:t>
      </w:r>
      <w:r w:rsidRPr="00036AE2">
        <w:rPr>
          <w:rFonts w:ascii="Arial Narrow" w:hAnsi="Arial Narrow"/>
          <w:sz w:val="24"/>
          <w:szCs w:val="24"/>
        </w:rPr>
        <w:t xml:space="preserve"> В допълнение, той прониква в цялата тъкан на Правото на ЕС и произвежда кулминацията в йерархията на нормите на ЕС („задълбочаването на принципа на равно третиране“).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 xml:space="preserve">Интерпретацията и приложението на принципа на равно третиране е от първостепенно конституционно значение за Съда на ЕС. Незачитайки този принцип, който е неизменна част от идеята за справедливост, Съдът не би могъл да изпълнява своята мисия по опазването на правното статукво. Поради тази причина Съдът се стреми да гарантира, че в обхвата на Правото на ЕС </w:t>
      </w:r>
      <w:proofErr w:type="spellStart"/>
      <w:r w:rsidRPr="00036AE2">
        <w:rPr>
          <w:rFonts w:ascii="Arial Narrow" w:hAnsi="Arial Narrow"/>
          <w:sz w:val="24"/>
          <w:szCs w:val="24"/>
        </w:rPr>
        <w:t>сравняемите</w:t>
      </w:r>
      <w:proofErr w:type="spellEnd"/>
      <w:r w:rsidRPr="00036AE2">
        <w:rPr>
          <w:rFonts w:ascii="Arial Narrow" w:hAnsi="Arial Narrow"/>
          <w:sz w:val="24"/>
          <w:szCs w:val="24"/>
        </w:rPr>
        <w:t xml:space="preserve"> институции не са третирани по различен начин, и че различните ситуации не са третирани по еднакъв начин, освен ако такова отношение е обективно оправдано (забрана за дискриминация).</w:t>
      </w:r>
      <w:r w:rsidRPr="00036AE2">
        <w:rPr>
          <w:rFonts w:ascii="Arial Narrow" w:hAnsi="Arial Narrow"/>
          <w:sz w:val="24"/>
          <w:szCs w:val="24"/>
          <w:vertAlign w:val="superscript"/>
        </w:rPr>
        <w:t>5</w:t>
      </w:r>
      <w:r w:rsidRPr="00036AE2">
        <w:rPr>
          <w:rFonts w:ascii="Arial Narrow" w:hAnsi="Arial Narrow"/>
          <w:sz w:val="24"/>
          <w:szCs w:val="24"/>
          <w:vertAlign w:val="superscript"/>
          <w:lang w:val="ru-RU"/>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Разглеждайки няколко примера, заимствани от съдебната практика на Съда на ЕС, целта на моето изложение е по този начин да предоставя генерален преглед върху най-важните характеристики на принципа на равно третиране. </w:t>
      </w:r>
    </w:p>
    <w:p w:rsidR="007B37A0" w:rsidRPr="00036AE2" w:rsidRDefault="007B37A0" w:rsidP="00036AE2">
      <w:pPr>
        <w:pBdr>
          <w:bottom w:val="single" w:sz="6" w:space="1" w:color="auto"/>
        </w:pBdr>
        <w:spacing w:after="0" w:line="240" w:lineRule="auto"/>
        <w:ind w:firstLine="540"/>
        <w:jc w:val="both"/>
        <w:rPr>
          <w:rFonts w:ascii="Arial Narrow" w:hAnsi="Arial Narrow"/>
          <w:i/>
          <w:sz w:val="24"/>
          <w:szCs w:val="24"/>
        </w:rPr>
      </w:pPr>
    </w:p>
    <w:p w:rsidR="007B37A0" w:rsidRPr="00036AE2" w:rsidRDefault="007B37A0" w:rsidP="00036AE2">
      <w:pPr>
        <w:pBdr>
          <w:bottom w:val="single" w:sz="6" w:space="1" w:color="auto"/>
        </w:pBdr>
        <w:spacing w:after="0" w:line="240" w:lineRule="auto"/>
        <w:ind w:firstLine="540"/>
        <w:jc w:val="both"/>
        <w:rPr>
          <w:rFonts w:ascii="Arial Narrow" w:hAnsi="Arial Narrow"/>
          <w:i/>
          <w:sz w:val="24"/>
          <w:szCs w:val="24"/>
        </w:rPr>
      </w:pPr>
    </w:p>
    <w:p w:rsidR="007B37A0" w:rsidRPr="00ED5D1D" w:rsidRDefault="007B37A0" w:rsidP="00036AE2">
      <w:pPr>
        <w:pBdr>
          <w:bottom w:val="single" w:sz="6" w:space="1" w:color="auto"/>
        </w:pBdr>
        <w:spacing w:after="0" w:line="240" w:lineRule="auto"/>
        <w:ind w:firstLine="540"/>
        <w:jc w:val="center"/>
        <w:rPr>
          <w:rFonts w:ascii="Arial Narrow" w:hAnsi="Arial Narrow"/>
          <w:b/>
          <w:bCs/>
          <w:sz w:val="24"/>
          <w:szCs w:val="24"/>
        </w:rPr>
      </w:pPr>
      <w:r>
        <w:rPr>
          <w:rFonts w:ascii="Arial Narrow" w:hAnsi="Arial Narrow"/>
          <w:b/>
          <w:bCs/>
          <w:i/>
          <w:sz w:val="24"/>
          <w:szCs w:val="24"/>
        </w:rPr>
        <w:t>1</w:t>
      </w:r>
      <w:r w:rsidRPr="00ED5D1D">
        <w:rPr>
          <w:rFonts w:ascii="Arial Narrow" w:hAnsi="Arial Narrow"/>
          <w:b/>
          <w:bCs/>
          <w:i/>
          <w:sz w:val="24"/>
          <w:szCs w:val="24"/>
        </w:rPr>
        <w:t xml:space="preserve">. </w:t>
      </w:r>
      <w:r w:rsidRPr="00ED5D1D">
        <w:rPr>
          <w:rFonts w:ascii="Arial Narrow" w:hAnsi="Arial Narrow"/>
          <w:b/>
          <w:bCs/>
          <w:i/>
          <w:sz w:val="24"/>
          <w:szCs w:val="24"/>
          <w:lang w:val="en-US"/>
        </w:rPr>
        <w:t>Test</w:t>
      </w:r>
      <w:r w:rsidRPr="00ED5D1D">
        <w:rPr>
          <w:rFonts w:ascii="Arial Narrow" w:hAnsi="Arial Narrow"/>
          <w:b/>
          <w:bCs/>
          <w:i/>
          <w:sz w:val="24"/>
          <w:szCs w:val="24"/>
          <w:lang w:val="ru-RU"/>
        </w:rPr>
        <w:t>-</w:t>
      </w:r>
      <w:proofErr w:type="spellStart"/>
      <w:r w:rsidRPr="00ED5D1D">
        <w:rPr>
          <w:rFonts w:ascii="Arial Narrow" w:hAnsi="Arial Narrow"/>
          <w:b/>
          <w:bCs/>
          <w:i/>
          <w:sz w:val="24"/>
          <w:szCs w:val="24"/>
          <w:lang w:val="en-US"/>
        </w:rPr>
        <w:t>Achats</w:t>
      </w:r>
      <w:proofErr w:type="spellEnd"/>
      <w:r w:rsidRPr="00ED5D1D">
        <w:rPr>
          <w:rFonts w:ascii="Arial Narrow" w:hAnsi="Arial Narrow"/>
          <w:b/>
          <w:bCs/>
          <w:sz w:val="24"/>
          <w:szCs w:val="24"/>
          <w:lang w:val="ru-RU"/>
        </w:rPr>
        <w:t xml:space="preserve">: </w:t>
      </w:r>
      <w:r w:rsidRPr="00ED5D1D">
        <w:rPr>
          <w:rFonts w:ascii="Arial Narrow" w:hAnsi="Arial Narrow"/>
          <w:b/>
          <w:bCs/>
          <w:sz w:val="24"/>
          <w:szCs w:val="24"/>
        </w:rPr>
        <w:t xml:space="preserve">принципът на равно третиране </w:t>
      </w:r>
    </w:p>
    <w:p w:rsidR="007B37A0" w:rsidRPr="00ED5D1D" w:rsidRDefault="007B37A0" w:rsidP="00036AE2">
      <w:pPr>
        <w:pBdr>
          <w:bottom w:val="single" w:sz="6" w:space="1" w:color="auto"/>
        </w:pBdr>
        <w:spacing w:after="0" w:line="240" w:lineRule="auto"/>
        <w:ind w:firstLine="540"/>
        <w:jc w:val="center"/>
        <w:rPr>
          <w:rFonts w:ascii="Arial Narrow" w:hAnsi="Arial Narrow"/>
          <w:b/>
          <w:bCs/>
          <w:sz w:val="24"/>
          <w:szCs w:val="24"/>
        </w:rPr>
      </w:pPr>
      <w:r w:rsidRPr="00ED5D1D">
        <w:rPr>
          <w:rFonts w:ascii="Arial Narrow" w:hAnsi="Arial Narrow"/>
          <w:b/>
          <w:bCs/>
          <w:sz w:val="24"/>
          <w:szCs w:val="24"/>
        </w:rPr>
        <w:t>като основа за разглеждане на вторичното законодателство на ЕС.</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приложния обхват на Правото на ЕС принципът на равно третиране е обвързващ не само по отношение на държавите-членки и гражданите на ЕС, но също така и по отношение на институциите, които са задължени да не установяват никакви критерии в разрез с него. По този начин, ако вторичното законодателство на ЕС противоречи на принципа, Съдът веднага отменя такъв закон или го признава за недействителен.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lang w:val="ru-RU"/>
        </w:rPr>
      </w:pPr>
      <w:r w:rsidRPr="00036AE2">
        <w:rPr>
          <w:rFonts w:ascii="Arial Narrow" w:hAnsi="Arial Narrow"/>
          <w:sz w:val="24"/>
          <w:szCs w:val="24"/>
        </w:rPr>
        <w:t xml:space="preserve">В </w:t>
      </w:r>
      <w:r w:rsidRPr="00036AE2">
        <w:rPr>
          <w:rFonts w:ascii="Arial Narrow" w:hAnsi="Arial Narrow"/>
          <w:i/>
          <w:sz w:val="24"/>
          <w:szCs w:val="24"/>
          <w:lang w:val="en-US"/>
        </w:rPr>
        <w:t>Test</w:t>
      </w:r>
      <w:r w:rsidRPr="00036AE2">
        <w:rPr>
          <w:rFonts w:ascii="Arial Narrow" w:hAnsi="Arial Narrow"/>
          <w:i/>
          <w:sz w:val="24"/>
          <w:szCs w:val="24"/>
          <w:lang w:val="ru-RU"/>
        </w:rPr>
        <w:t>-</w:t>
      </w:r>
      <w:proofErr w:type="spellStart"/>
      <w:r w:rsidRPr="00036AE2">
        <w:rPr>
          <w:rFonts w:ascii="Arial Narrow" w:hAnsi="Arial Narrow"/>
          <w:i/>
          <w:sz w:val="24"/>
          <w:szCs w:val="24"/>
          <w:lang w:val="en-US"/>
        </w:rPr>
        <w:t>Achats</w:t>
      </w:r>
      <w:proofErr w:type="spellEnd"/>
      <w:r w:rsidRPr="00036AE2">
        <w:rPr>
          <w:rFonts w:ascii="Arial Narrow" w:hAnsi="Arial Narrow"/>
          <w:i/>
          <w:sz w:val="24"/>
          <w:szCs w:val="24"/>
        </w:rPr>
        <w:t xml:space="preserve"> </w:t>
      </w:r>
      <w:r w:rsidRPr="00036AE2">
        <w:rPr>
          <w:rFonts w:ascii="Arial Narrow" w:hAnsi="Arial Narrow"/>
          <w:sz w:val="24"/>
          <w:szCs w:val="24"/>
        </w:rPr>
        <w:t>сезираният съд се обръща към Съда на ЕС, за да разтълкува дали чл. 5 (2) на Директива 2004/113</w:t>
      </w:r>
      <w:r w:rsidRPr="00036AE2">
        <w:rPr>
          <w:rFonts w:ascii="Arial Narrow" w:hAnsi="Arial Narrow"/>
          <w:sz w:val="24"/>
          <w:szCs w:val="24"/>
          <w:vertAlign w:val="superscript"/>
        </w:rPr>
        <w:t>6</w:t>
      </w:r>
      <w:r w:rsidRPr="00036AE2">
        <w:rPr>
          <w:rFonts w:ascii="Arial Narrow" w:hAnsi="Arial Narrow"/>
          <w:sz w:val="24"/>
          <w:szCs w:val="24"/>
        </w:rPr>
        <w:t xml:space="preserve"> е валиден в светлината на принципа на равно третиране на половете. Чл. 5 (1) на Директива 2004/113 осъществява този принцип във връзка с „</w:t>
      </w:r>
      <w:proofErr w:type="spellStart"/>
      <w:r w:rsidRPr="00036AE2">
        <w:rPr>
          <w:rFonts w:ascii="Arial Narrow" w:hAnsi="Arial Narrow"/>
          <w:sz w:val="24"/>
          <w:szCs w:val="24"/>
        </w:rPr>
        <w:t>актюерския</w:t>
      </w:r>
      <w:proofErr w:type="spellEnd"/>
      <w:r w:rsidRPr="00036AE2">
        <w:rPr>
          <w:rFonts w:ascii="Arial Narrow" w:hAnsi="Arial Narrow"/>
          <w:sz w:val="24"/>
          <w:szCs w:val="24"/>
        </w:rPr>
        <w:t xml:space="preserve"> фактор“. Той предвижда, че разликите във възнагражденията и облагите, възникващи по повод използването на пола като фактор в изчисляването им, трябва да бъде отменен най-късно до 21.12.2007г. Чрез </w:t>
      </w:r>
      <w:proofErr w:type="spellStart"/>
      <w:r w:rsidRPr="00036AE2">
        <w:rPr>
          <w:rFonts w:ascii="Arial Narrow" w:hAnsi="Arial Narrow"/>
          <w:sz w:val="24"/>
          <w:szCs w:val="24"/>
        </w:rPr>
        <w:t>дерогация</w:t>
      </w:r>
      <w:proofErr w:type="spellEnd"/>
      <w:r w:rsidRPr="00036AE2">
        <w:rPr>
          <w:rFonts w:ascii="Arial Narrow" w:hAnsi="Arial Narrow"/>
          <w:sz w:val="24"/>
          <w:szCs w:val="24"/>
        </w:rPr>
        <w:t xml:space="preserve"> чл. 5 (2) на Директива 2004/113 прокламира, че на държавите-членки е позволено да въведат пропорционални разлики в индивидуалните възнаграждения и облаги където полът е бил решаващ фактор за оценяването на риска, основан на съответна и точна </w:t>
      </w:r>
      <w:proofErr w:type="spellStart"/>
      <w:r w:rsidRPr="00036AE2">
        <w:rPr>
          <w:rFonts w:ascii="Arial Narrow" w:hAnsi="Arial Narrow"/>
          <w:sz w:val="24"/>
          <w:szCs w:val="24"/>
        </w:rPr>
        <w:t>актюерска</w:t>
      </w:r>
      <w:proofErr w:type="spellEnd"/>
      <w:r w:rsidRPr="00036AE2">
        <w:rPr>
          <w:rFonts w:ascii="Arial Narrow" w:hAnsi="Arial Narrow"/>
          <w:sz w:val="24"/>
          <w:szCs w:val="24"/>
        </w:rPr>
        <w:t xml:space="preserve"> и статистическа информация.</w:t>
      </w:r>
      <w:r w:rsidRPr="00036AE2">
        <w:rPr>
          <w:rFonts w:ascii="Arial Narrow" w:hAnsi="Arial Narrow"/>
          <w:sz w:val="24"/>
          <w:szCs w:val="24"/>
          <w:vertAlign w:val="superscript"/>
        </w:rPr>
        <w:t>7</w:t>
      </w:r>
      <w:r w:rsidRPr="00036AE2">
        <w:rPr>
          <w:rFonts w:ascii="Arial Narrow" w:hAnsi="Arial Narrow"/>
          <w:sz w:val="24"/>
          <w:szCs w:val="24"/>
          <w:lang w:val="ru-RU"/>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lastRenderedPageBreak/>
        <w:t xml:space="preserve">Ако държава-членка е използвала тази опция преди 21.12.2007г., то решението е трябвало да бъде преразгледано пет години след тази дата като се вземе предвид доклад на Комисията. В самото начало Съдът на ЕС акцентира, че Директива 2004/113 изрично препраща към чл. 21 и 23 на Хартата.  Съответно валидността на чл. 5 (2) на Директива 2004/113 трябва да се определи въз основа на тези две клаузи. Съдът преглежда отново клаузите в Договора, дефиниращи принципа на равно третиране на половете като социална цел, която трябва да бъде постигната от ЕС, а именно втората алинея на чл. 3 (3) ДЕС и чл. 8, 19 (1), и 157 (1) ДФЕС. В тази връзка е подчертано, че „в постепенното постигане на това равенство, европейското законодателство е това, което (…) определя кога то ще предприеме действия, вземайки предвид икономическото и социалното статукво в границите на </w:t>
      </w:r>
      <w:r w:rsidRPr="00036AE2">
        <w:rPr>
          <w:rFonts w:ascii="Arial Narrow" w:hAnsi="Arial Narrow"/>
          <w:sz w:val="24"/>
          <w:szCs w:val="24"/>
          <w:lang w:val="ru-RU"/>
        </w:rPr>
        <w:t>[</w:t>
      </w:r>
      <w:r w:rsidRPr="00036AE2">
        <w:rPr>
          <w:rFonts w:ascii="Arial Narrow" w:hAnsi="Arial Narrow"/>
          <w:sz w:val="24"/>
          <w:szCs w:val="24"/>
        </w:rPr>
        <w:t>ЕС</w:t>
      </w:r>
      <w:r w:rsidRPr="00036AE2">
        <w:rPr>
          <w:rFonts w:ascii="Arial Narrow" w:hAnsi="Arial Narrow"/>
          <w:sz w:val="24"/>
          <w:szCs w:val="24"/>
          <w:lang w:val="ru-RU"/>
        </w:rPr>
        <w:t>]</w:t>
      </w:r>
      <w:r w:rsidRPr="00036AE2">
        <w:rPr>
          <w:rFonts w:ascii="Arial Narrow" w:hAnsi="Arial Narrow"/>
          <w:sz w:val="24"/>
          <w:szCs w:val="24"/>
        </w:rPr>
        <w:t>“.</w:t>
      </w:r>
      <w:r w:rsidRPr="00036AE2">
        <w:rPr>
          <w:rFonts w:ascii="Arial Narrow" w:hAnsi="Arial Narrow"/>
          <w:sz w:val="24"/>
          <w:szCs w:val="24"/>
          <w:vertAlign w:val="superscript"/>
        </w:rPr>
        <w:t>8</w:t>
      </w:r>
      <w:r w:rsidRPr="00036AE2">
        <w:rPr>
          <w:rFonts w:ascii="Arial Narrow" w:hAnsi="Arial Narrow"/>
          <w:sz w:val="24"/>
          <w:szCs w:val="24"/>
        </w:rPr>
        <w:t xml:space="preserve"> Това означава, че откакто употребата на </w:t>
      </w:r>
      <w:proofErr w:type="spellStart"/>
      <w:r w:rsidRPr="00036AE2">
        <w:rPr>
          <w:rFonts w:ascii="Arial Narrow" w:hAnsi="Arial Narrow"/>
          <w:sz w:val="24"/>
          <w:szCs w:val="24"/>
        </w:rPr>
        <w:t>актюерски</w:t>
      </w:r>
      <w:proofErr w:type="spellEnd"/>
      <w:r w:rsidRPr="00036AE2">
        <w:rPr>
          <w:rFonts w:ascii="Arial Narrow" w:hAnsi="Arial Narrow"/>
          <w:sz w:val="24"/>
          <w:szCs w:val="24"/>
        </w:rPr>
        <w:t xml:space="preserve"> фактори, свързани с пола, се е превърнала в масова практика в държавите-членки, то за Съюзния законодател възниква възможността да предвиди подходящия преходен период. Такава всъщност е била обосновката, подкрепяща чл. 5 (1) на Директива 2004/113, обявяваща 21.12.2007г. за краен срок на изпълнението на принципа на равно третиране на половете във връзка с </w:t>
      </w:r>
      <w:proofErr w:type="spellStart"/>
      <w:r w:rsidRPr="00036AE2">
        <w:rPr>
          <w:rFonts w:ascii="Arial Narrow" w:hAnsi="Arial Narrow"/>
          <w:sz w:val="24"/>
          <w:szCs w:val="24"/>
        </w:rPr>
        <w:t>актюерските</w:t>
      </w:r>
      <w:proofErr w:type="spellEnd"/>
      <w:r w:rsidRPr="00036AE2">
        <w:rPr>
          <w:rFonts w:ascii="Arial Narrow" w:hAnsi="Arial Narrow"/>
          <w:sz w:val="24"/>
          <w:szCs w:val="24"/>
        </w:rPr>
        <w:t xml:space="preserve"> фактори</w:t>
      </w:r>
      <w:r w:rsidRPr="00036AE2">
        <w:rPr>
          <w:rFonts w:ascii="Arial Narrow" w:hAnsi="Arial Narrow"/>
          <w:sz w:val="24"/>
          <w:szCs w:val="24"/>
          <w:lang w:val="ru-RU"/>
        </w:rPr>
        <w:t xml:space="preserve">. </w:t>
      </w:r>
      <w:r w:rsidRPr="00036AE2">
        <w:rPr>
          <w:rFonts w:ascii="Arial Narrow" w:hAnsi="Arial Narrow"/>
          <w:sz w:val="24"/>
          <w:szCs w:val="24"/>
        </w:rPr>
        <w:t xml:space="preserve">За разлика от това, чл. 5 (2) предвиждал </w:t>
      </w:r>
      <w:proofErr w:type="spellStart"/>
      <w:r w:rsidRPr="00036AE2">
        <w:rPr>
          <w:rFonts w:ascii="Arial Narrow" w:hAnsi="Arial Narrow"/>
          <w:sz w:val="24"/>
          <w:szCs w:val="24"/>
        </w:rPr>
        <w:t>дерогация</w:t>
      </w:r>
      <w:proofErr w:type="spellEnd"/>
      <w:r w:rsidRPr="00036AE2">
        <w:rPr>
          <w:rFonts w:ascii="Arial Narrow" w:hAnsi="Arial Narrow"/>
          <w:sz w:val="24"/>
          <w:szCs w:val="24"/>
        </w:rPr>
        <w:t xml:space="preserve"> на този принцип, което е било предмет на ограничение, което няма преходен характер. „Имайки предвид, че Директива 2004/113 мълчи относно продължителността на времето, през което тези различия ще продължат да бъдат прилагани“, Съдът на ЕС отбелязва, че „на държавите-членки, които са се възползвали от опцията, им е дадена възможността да позволят на застрахователните агенти да прилагат неравно третиране без да е налице ограничение с преходен характер“.</w:t>
      </w:r>
      <w:r w:rsidRPr="00036AE2">
        <w:rPr>
          <w:rFonts w:ascii="Arial Narrow" w:hAnsi="Arial Narrow"/>
          <w:sz w:val="24"/>
          <w:szCs w:val="24"/>
          <w:vertAlign w:val="superscript"/>
        </w:rPr>
        <w:t>9</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 xml:space="preserve">Съветът на ЕС подкрепя валидността на чл. 5 (2) на Директива 2004/113 с аргумент, че в контекста на определени отрасли на частното осигуряване съответните положения при мъже и жени, притежатели на застрахователни полици, не би трябвало да бъдат разглеждани като сравними, имайки предвид статистическите данни, посочващи различните по интензитет рискови фактори при половете. Въпреки това Съдът застъпва различно становище. Съгласно Изложения на факти </w:t>
      </w:r>
      <w:r w:rsidRPr="00036AE2">
        <w:rPr>
          <w:rFonts w:ascii="Arial Narrow" w:hAnsi="Arial Narrow"/>
          <w:sz w:val="24"/>
          <w:szCs w:val="24"/>
          <w:lang w:val="en-US"/>
        </w:rPr>
        <w:t>N</w:t>
      </w:r>
      <w:r w:rsidRPr="00036AE2">
        <w:rPr>
          <w:rFonts w:ascii="Arial Narrow" w:hAnsi="Arial Narrow"/>
          <w:sz w:val="24"/>
          <w:szCs w:val="24"/>
        </w:rPr>
        <w:t>18 и 19 на Директива 2004/113, последната поддържа приложението на единни правила за възнаграждения и облаги. Съобразно с това „Директива 2004/113 е базирана на условието, че (…) съответните положения при мъже и жени, що се отнася до застрахователни премии и облаги, договорени с тях, са подобни“.</w:t>
      </w:r>
      <w:r w:rsidRPr="00036AE2">
        <w:rPr>
          <w:rFonts w:ascii="Arial Narrow" w:hAnsi="Arial Narrow"/>
          <w:sz w:val="24"/>
          <w:szCs w:val="24"/>
          <w:vertAlign w:val="superscript"/>
        </w:rPr>
        <w:t>10</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За Съда на ЕС чл. 5 (2) на Директива 2004/113, „който дава възможност на държавите-членки да поддържат без ограничения с преходен характер изключения от правилото на единните премии и облаги, работи срещу постигането на целта за равно третиране на половете, манифестирана в Директива 2004/113, и е несъвместим с чл. 21 и 23 на Хартата“.</w:t>
      </w:r>
      <w:r w:rsidRPr="00036AE2">
        <w:rPr>
          <w:rFonts w:ascii="Arial Narrow" w:hAnsi="Arial Narrow"/>
          <w:sz w:val="24"/>
          <w:szCs w:val="24"/>
          <w:vertAlign w:val="superscript"/>
        </w:rPr>
        <w:t>11</w:t>
      </w:r>
      <w:r w:rsidRPr="00036AE2">
        <w:rPr>
          <w:rFonts w:ascii="Arial Narrow" w:hAnsi="Arial Narrow"/>
          <w:sz w:val="24"/>
          <w:szCs w:val="24"/>
        </w:rPr>
        <w:t xml:space="preserve"> Следователно тази клауза е счетена за недействителна заради изтичането на подходящия преходен период, т.е. 21.12.2012.</w:t>
      </w:r>
      <w:r w:rsidRPr="00036AE2">
        <w:rPr>
          <w:rFonts w:ascii="Arial Narrow" w:hAnsi="Arial Narrow"/>
          <w:sz w:val="24"/>
          <w:szCs w:val="24"/>
          <w:vertAlign w:val="superscript"/>
        </w:rPr>
        <w:t>12</w:t>
      </w:r>
    </w:p>
    <w:p w:rsidR="007B37A0" w:rsidRPr="00036AE2" w:rsidRDefault="007B37A0" w:rsidP="00036AE2">
      <w:pPr>
        <w:pBdr>
          <w:bottom w:val="single" w:sz="6" w:space="1" w:color="auto"/>
        </w:pBdr>
        <w:spacing w:after="0" w:line="240" w:lineRule="auto"/>
        <w:ind w:firstLine="540"/>
        <w:jc w:val="both"/>
        <w:rPr>
          <w:rFonts w:ascii="Arial Narrow" w:hAnsi="Arial Narrow"/>
          <w:i/>
          <w:sz w:val="24"/>
          <w:szCs w:val="24"/>
        </w:rPr>
      </w:pPr>
    </w:p>
    <w:p w:rsidR="007B37A0" w:rsidRPr="00036AE2" w:rsidRDefault="007B37A0" w:rsidP="00036AE2">
      <w:pPr>
        <w:pBdr>
          <w:bottom w:val="single" w:sz="6" w:space="1" w:color="auto"/>
        </w:pBdr>
        <w:spacing w:after="0" w:line="240" w:lineRule="auto"/>
        <w:ind w:firstLine="540"/>
        <w:jc w:val="both"/>
        <w:rPr>
          <w:rFonts w:ascii="Arial Narrow" w:hAnsi="Arial Narrow"/>
          <w:i/>
          <w:sz w:val="24"/>
          <w:szCs w:val="24"/>
        </w:rPr>
      </w:pPr>
    </w:p>
    <w:p w:rsidR="007B37A0" w:rsidRPr="00ED5D1D" w:rsidRDefault="007B37A0" w:rsidP="00036AE2">
      <w:pPr>
        <w:pBdr>
          <w:bottom w:val="single" w:sz="6" w:space="1" w:color="auto"/>
        </w:pBdr>
        <w:spacing w:after="0" w:line="240" w:lineRule="auto"/>
        <w:ind w:firstLine="540"/>
        <w:jc w:val="center"/>
        <w:rPr>
          <w:rFonts w:ascii="Arial Narrow" w:hAnsi="Arial Narrow"/>
          <w:b/>
          <w:bCs/>
          <w:sz w:val="24"/>
          <w:szCs w:val="24"/>
        </w:rPr>
      </w:pPr>
      <w:r>
        <w:rPr>
          <w:rFonts w:ascii="Arial Narrow" w:hAnsi="Arial Narrow"/>
          <w:b/>
          <w:bCs/>
          <w:i/>
          <w:sz w:val="24"/>
          <w:szCs w:val="24"/>
        </w:rPr>
        <w:t>2</w:t>
      </w:r>
      <w:r w:rsidRPr="00ED5D1D">
        <w:rPr>
          <w:rFonts w:ascii="Arial Narrow" w:hAnsi="Arial Narrow"/>
          <w:b/>
          <w:bCs/>
          <w:i/>
          <w:sz w:val="24"/>
          <w:szCs w:val="24"/>
        </w:rPr>
        <w:t xml:space="preserve">. </w:t>
      </w:r>
      <w:r w:rsidRPr="00ED5D1D">
        <w:rPr>
          <w:rFonts w:ascii="Arial Narrow" w:hAnsi="Arial Narrow"/>
          <w:b/>
          <w:bCs/>
          <w:i/>
          <w:sz w:val="24"/>
          <w:szCs w:val="24"/>
          <w:lang w:val="en-US"/>
        </w:rPr>
        <w:t>Sturgeon</w:t>
      </w:r>
      <w:r w:rsidRPr="00ED5D1D">
        <w:rPr>
          <w:rFonts w:ascii="Arial Narrow" w:hAnsi="Arial Narrow"/>
          <w:b/>
          <w:bCs/>
          <w:sz w:val="24"/>
          <w:szCs w:val="24"/>
          <w:lang w:val="ru-RU"/>
        </w:rPr>
        <w:t>:</w:t>
      </w:r>
      <w:r w:rsidRPr="00ED5D1D">
        <w:rPr>
          <w:rFonts w:ascii="Arial Narrow" w:hAnsi="Arial Narrow"/>
          <w:b/>
          <w:bCs/>
          <w:sz w:val="24"/>
          <w:szCs w:val="24"/>
        </w:rPr>
        <w:t xml:space="preserve"> принципът на равно третиране и принципът на последователно тълкуване.</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Във връзка с основния принцип на интерпретацията, „акт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xml:space="preserve"> трябва да бъде тълкуван доколкото е възможно по такъв начин, че да не накърнява неговата валидност и съответствието му с първичното право като цяло“.</w:t>
      </w:r>
      <w:r w:rsidRPr="00036AE2">
        <w:rPr>
          <w:rFonts w:ascii="Arial Narrow" w:hAnsi="Arial Narrow"/>
          <w:sz w:val="24"/>
          <w:szCs w:val="24"/>
          <w:vertAlign w:val="superscript"/>
        </w:rPr>
        <w:t>13</w:t>
      </w:r>
      <w:r w:rsidRPr="00036AE2">
        <w:rPr>
          <w:rFonts w:ascii="Arial Narrow" w:hAnsi="Arial Narrow"/>
          <w:sz w:val="24"/>
          <w:szCs w:val="24"/>
        </w:rPr>
        <w:t xml:space="preserve"> Това например означава, че всички актове на ЕС трябва да бъдат интерпретирани в съответствие с принципа на равно третиране. </w:t>
      </w:r>
      <w:r w:rsidRPr="00036AE2">
        <w:rPr>
          <w:rFonts w:ascii="Arial Narrow" w:hAnsi="Arial Narrow"/>
          <w:sz w:val="24"/>
          <w:szCs w:val="24"/>
          <w:vertAlign w:val="superscript"/>
        </w:rPr>
        <w:t xml:space="preserve">14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w:t>
      </w:r>
      <w:r w:rsidRPr="00036AE2">
        <w:rPr>
          <w:rFonts w:ascii="Arial Narrow" w:hAnsi="Arial Narrow"/>
          <w:i/>
          <w:sz w:val="24"/>
          <w:szCs w:val="24"/>
          <w:lang w:val="en-US"/>
        </w:rPr>
        <w:t>Sturgeon</w:t>
      </w:r>
      <w:r w:rsidRPr="00036AE2">
        <w:rPr>
          <w:rFonts w:ascii="Arial Narrow" w:hAnsi="Arial Narrow"/>
          <w:i/>
          <w:sz w:val="24"/>
          <w:szCs w:val="24"/>
          <w:lang w:val="ru-RU"/>
        </w:rPr>
        <w:t xml:space="preserve"> </w:t>
      </w:r>
      <w:r w:rsidRPr="00036AE2">
        <w:rPr>
          <w:rFonts w:ascii="Arial Narrow" w:hAnsi="Arial Narrow"/>
          <w:i/>
          <w:sz w:val="24"/>
          <w:szCs w:val="24"/>
          <w:lang w:val="en-US"/>
        </w:rPr>
        <w:t>and</w:t>
      </w:r>
      <w:r w:rsidRPr="00036AE2">
        <w:rPr>
          <w:rFonts w:ascii="Arial Narrow" w:hAnsi="Arial Narrow"/>
          <w:i/>
          <w:sz w:val="24"/>
          <w:szCs w:val="24"/>
          <w:lang w:val="ru-RU"/>
        </w:rPr>
        <w:t xml:space="preserve"> </w:t>
      </w:r>
      <w:r w:rsidRPr="00036AE2">
        <w:rPr>
          <w:rFonts w:ascii="Arial Narrow" w:hAnsi="Arial Narrow"/>
          <w:i/>
          <w:sz w:val="24"/>
          <w:szCs w:val="24"/>
          <w:lang w:val="en-US"/>
        </w:rPr>
        <w:t>Others</w:t>
      </w:r>
      <w:r w:rsidRPr="00036AE2">
        <w:rPr>
          <w:rFonts w:ascii="Arial Narrow" w:hAnsi="Arial Narrow"/>
          <w:sz w:val="24"/>
          <w:szCs w:val="24"/>
          <w:lang w:val="ru-RU"/>
        </w:rPr>
        <w:t xml:space="preserve">, </w:t>
      </w:r>
      <w:r w:rsidRPr="00036AE2">
        <w:rPr>
          <w:rFonts w:ascii="Arial Narrow" w:hAnsi="Arial Narrow"/>
          <w:sz w:val="24"/>
          <w:szCs w:val="24"/>
        </w:rPr>
        <w:t xml:space="preserve">Съдът е сезиран с въпроса дали Регламент </w:t>
      </w:r>
      <w:r w:rsidRPr="00036AE2">
        <w:rPr>
          <w:rFonts w:ascii="Arial Narrow" w:hAnsi="Arial Narrow"/>
          <w:sz w:val="24"/>
          <w:szCs w:val="24"/>
          <w:lang w:val="en-US"/>
        </w:rPr>
        <w:t>N</w:t>
      </w:r>
      <w:r w:rsidRPr="00036AE2">
        <w:rPr>
          <w:rFonts w:ascii="Arial Narrow" w:hAnsi="Arial Narrow"/>
          <w:sz w:val="24"/>
          <w:szCs w:val="24"/>
        </w:rPr>
        <w:t>261/2004</w:t>
      </w:r>
      <w:r w:rsidRPr="00036AE2">
        <w:rPr>
          <w:rFonts w:ascii="Arial Narrow" w:hAnsi="Arial Narrow"/>
          <w:sz w:val="24"/>
          <w:szCs w:val="24"/>
          <w:vertAlign w:val="superscript"/>
        </w:rPr>
        <w:t>15</w:t>
      </w:r>
      <w:r w:rsidRPr="00036AE2">
        <w:rPr>
          <w:rFonts w:ascii="Arial Narrow" w:hAnsi="Arial Narrow"/>
          <w:sz w:val="24"/>
          <w:szCs w:val="24"/>
        </w:rPr>
        <w:t xml:space="preserve"> прибавя право на компенсация на пътниците на авиокомпаниите в случай на забавяне.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Формулировката на Регламент </w:t>
      </w:r>
      <w:r w:rsidRPr="00036AE2">
        <w:rPr>
          <w:rFonts w:ascii="Arial Narrow" w:hAnsi="Arial Narrow"/>
          <w:sz w:val="24"/>
          <w:szCs w:val="24"/>
          <w:lang w:val="en-US"/>
        </w:rPr>
        <w:t>N</w:t>
      </w:r>
      <w:r w:rsidRPr="00036AE2">
        <w:rPr>
          <w:rFonts w:ascii="Arial Narrow" w:hAnsi="Arial Narrow"/>
          <w:sz w:val="24"/>
          <w:szCs w:val="24"/>
        </w:rPr>
        <w:t xml:space="preserve">261/2004 не създава изрично правото на компенсация за тези пасажери, чиито полети са забавени, за разлика от пасажерите, чиито полети са анулирани (за последните то е изрично предоставено). Възможно ли е това мълчание на законодателя да бъде тълкувано като отхвърляне на компенсацията за тази категория пътници? Съдът на ЕС отговаря отрицателно. Изследвайки поставените цели в Регламент </w:t>
      </w:r>
      <w:r w:rsidRPr="00036AE2">
        <w:rPr>
          <w:rFonts w:ascii="Arial Narrow" w:hAnsi="Arial Narrow"/>
          <w:sz w:val="24"/>
          <w:szCs w:val="24"/>
          <w:lang w:val="en-US"/>
        </w:rPr>
        <w:t>N</w:t>
      </w:r>
      <w:r w:rsidRPr="00036AE2">
        <w:rPr>
          <w:rFonts w:ascii="Arial Narrow" w:hAnsi="Arial Narrow"/>
          <w:sz w:val="24"/>
          <w:szCs w:val="24"/>
        </w:rPr>
        <w:t>261/2004, не се наблюдава нито изключване на компенсация за пасажери, чиито полети са били забавени, нито се обявява за неприемлива възможността, за целите на признаването на правото на компенсация, двете категории да бъдат третирани еднакво.</w:t>
      </w:r>
      <w:r w:rsidRPr="00036AE2">
        <w:rPr>
          <w:rFonts w:ascii="Arial Narrow" w:hAnsi="Arial Narrow"/>
          <w:sz w:val="24"/>
          <w:szCs w:val="24"/>
          <w:vertAlign w:val="superscript"/>
        </w:rPr>
        <w:t>16</w:t>
      </w:r>
      <w:r w:rsidRPr="00036AE2">
        <w:rPr>
          <w:rFonts w:ascii="Arial Narrow" w:hAnsi="Arial Narrow"/>
          <w:sz w:val="24"/>
          <w:szCs w:val="24"/>
        </w:rPr>
        <w:t xml:space="preserve"> Съдът на ЕС отбелязва, че в съответствие с основния принцип на интерпретация, „акт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xml:space="preserve"> трябва да бъде тълкуван по начин, който </w:t>
      </w:r>
      <w:r w:rsidRPr="00036AE2">
        <w:rPr>
          <w:rFonts w:ascii="Arial Narrow" w:hAnsi="Arial Narrow"/>
          <w:sz w:val="24"/>
          <w:szCs w:val="24"/>
        </w:rPr>
        <w:lastRenderedPageBreak/>
        <w:t>да не накърнява неговата валидност“.</w:t>
      </w:r>
      <w:r w:rsidRPr="00036AE2">
        <w:rPr>
          <w:rFonts w:ascii="Arial Narrow" w:hAnsi="Arial Narrow"/>
          <w:sz w:val="24"/>
          <w:szCs w:val="24"/>
          <w:vertAlign w:val="superscript"/>
        </w:rPr>
        <w:t>17</w:t>
      </w:r>
      <w:r w:rsidRPr="00036AE2">
        <w:rPr>
          <w:rFonts w:ascii="Arial Narrow" w:hAnsi="Arial Narrow"/>
          <w:sz w:val="24"/>
          <w:szCs w:val="24"/>
        </w:rPr>
        <w:t xml:space="preserve"> Това е условие за интерпретацията на акта, подчиняващо се на върховенството на нормите на Правото на ЕС, включително и на принципа на равно третиране. Следователно пасажерите, чиито полети са анулирани, и тези, чиито са забавени, обитават </w:t>
      </w:r>
      <w:proofErr w:type="spellStart"/>
      <w:r w:rsidRPr="00036AE2">
        <w:rPr>
          <w:rFonts w:ascii="Arial Narrow" w:hAnsi="Arial Narrow"/>
          <w:sz w:val="24"/>
          <w:szCs w:val="24"/>
        </w:rPr>
        <w:t>сравняеми</w:t>
      </w:r>
      <w:proofErr w:type="spellEnd"/>
      <w:r w:rsidRPr="00036AE2">
        <w:rPr>
          <w:rFonts w:ascii="Arial Narrow" w:hAnsi="Arial Narrow"/>
          <w:sz w:val="24"/>
          <w:szCs w:val="24"/>
        </w:rPr>
        <w:t xml:space="preserve"> правни </w:t>
      </w:r>
      <w:proofErr w:type="spellStart"/>
      <w:r w:rsidRPr="00036AE2">
        <w:rPr>
          <w:rFonts w:ascii="Arial Narrow" w:hAnsi="Arial Narrow"/>
          <w:sz w:val="24"/>
          <w:szCs w:val="24"/>
        </w:rPr>
        <w:t>топоси</w:t>
      </w:r>
      <w:proofErr w:type="spellEnd"/>
      <w:r w:rsidRPr="00036AE2">
        <w:rPr>
          <w:rFonts w:ascii="Arial Narrow" w:hAnsi="Arial Narrow"/>
          <w:sz w:val="24"/>
          <w:szCs w:val="24"/>
        </w:rPr>
        <w:t xml:space="preserve">, и Регламент </w:t>
      </w:r>
      <w:r w:rsidRPr="00036AE2">
        <w:rPr>
          <w:rFonts w:ascii="Arial Narrow" w:hAnsi="Arial Narrow"/>
          <w:sz w:val="24"/>
          <w:szCs w:val="24"/>
          <w:lang w:val="en-US"/>
        </w:rPr>
        <w:t>N</w:t>
      </w:r>
      <w:r w:rsidRPr="00036AE2">
        <w:rPr>
          <w:rFonts w:ascii="Arial Narrow" w:hAnsi="Arial Narrow"/>
          <w:sz w:val="24"/>
          <w:szCs w:val="24"/>
        </w:rPr>
        <w:t xml:space="preserve">261/2004 трябва да бъде тълкуван по начин, който изравнява третирането на двете категории. Съдът на ЕС преценява, че и двата вида претърпени вреди се изразяват в загуба на време. В частност, положението на пасажерите, чиито полет е забавен, е сравнимо с това на пасажерите, които при пристигане на летището са информирани за отмяната на техния полет, и които впоследствие са пренасочени, в съответствие с чл. 5 на Регламент </w:t>
      </w:r>
      <w:r w:rsidRPr="00036AE2">
        <w:rPr>
          <w:rFonts w:ascii="Arial Narrow" w:hAnsi="Arial Narrow"/>
          <w:sz w:val="24"/>
          <w:szCs w:val="24"/>
          <w:lang w:val="en-US"/>
        </w:rPr>
        <w:t>N</w:t>
      </w:r>
      <w:r w:rsidRPr="00036AE2">
        <w:rPr>
          <w:rFonts w:ascii="Arial Narrow" w:hAnsi="Arial Narrow"/>
          <w:sz w:val="24"/>
          <w:szCs w:val="24"/>
        </w:rPr>
        <w:t>261/2004. Тъй като чл. 5 (1) (в) (</w:t>
      </w:r>
      <w:r w:rsidRPr="00036AE2">
        <w:rPr>
          <w:rFonts w:ascii="Arial Narrow" w:hAnsi="Arial Narrow"/>
          <w:sz w:val="24"/>
          <w:szCs w:val="24"/>
          <w:lang w:val="en-US"/>
        </w:rPr>
        <w:t>iii</w:t>
      </w:r>
      <w:r w:rsidRPr="00036AE2">
        <w:rPr>
          <w:rFonts w:ascii="Arial Narrow" w:hAnsi="Arial Narrow"/>
          <w:sz w:val="24"/>
          <w:szCs w:val="24"/>
        </w:rPr>
        <w:t>)</w:t>
      </w:r>
      <w:r w:rsidRPr="00036AE2">
        <w:rPr>
          <w:rFonts w:ascii="Arial Narrow" w:hAnsi="Arial Narrow"/>
          <w:sz w:val="24"/>
          <w:szCs w:val="24"/>
          <w:lang w:val="ru-RU"/>
        </w:rPr>
        <w:t xml:space="preserve"> </w:t>
      </w:r>
      <w:r w:rsidRPr="00036AE2">
        <w:rPr>
          <w:rFonts w:ascii="Arial Narrow" w:hAnsi="Arial Narrow"/>
          <w:sz w:val="24"/>
          <w:szCs w:val="24"/>
        </w:rPr>
        <w:t>предвижда единствено право на компенсация когато анулирането на полет и последващото пренасочване довежда до загуба на време, равна на или по-голяма от три часа, същото трябва да бъде приложено и в случай на забавяне.</w:t>
      </w:r>
      <w:r w:rsidRPr="00036AE2">
        <w:rPr>
          <w:rFonts w:ascii="Arial Narrow" w:hAnsi="Arial Narrow"/>
          <w:sz w:val="24"/>
          <w:szCs w:val="24"/>
          <w:vertAlign w:val="superscript"/>
        </w:rPr>
        <w:t>18</w:t>
      </w:r>
      <w:r w:rsidRPr="00036AE2">
        <w:rPr>
          <w:rFonts w:ascii="Arial Narrow" w:hAnsi="Arial Narrow"/>
          <w:sz w:val="24"/>
          <w:szCs w:val="24"/>
        </w:rPr>
        <w:t xml:space="preserve"> Поради тази причина Съдът на ЕС прие, че с цел Регламент </w:t>
      </w:r>
      <w:r w:rsidRPr="00036AE2">
        <w:rPr>
          <w:rFonts w:ascii="Arial Narrow" w:hAnsi="Arial Narrow"/>
          <w:sz w:val="24"/>
          <w:szCs w:val="24"/>
          <w:lang w:val="en-US"/>
        </w:rPr>
        <w:t>N</w:t>
      </w:r>
      <w:r w:rsidRPr="00036AE2">
        <w:rPr>
          <w:rFonts w:ascii="Arial Narrow" w:hAnsi="Arial Narrow"/>
          <w:sz w:val="24"/>
          <w:szCs w:val="24"/>
        </w:rPr>
        <w:t>261/2004 да отговори на принципа на равно третиране, той трябва да бъде интерпретиран така че да гарантира право на компенсация на пасажерите, чиито полети са забавени, и които достигат до крайната си дестинация три или повече часа след първоначално установения час от въздушния превозвач.</w:t>
      </w:r>
      <w:r w:rsidRPr="00036AE2">
        <w:rPr>
          <w:rFonts w:ascii="Arial Narrow" w:hAnsi="Arial Narrow"/>
          <w:sz w:val="24"/>
          <w:szCs w:val="24"/>
          <w:vertAlign w:val="superscript"/>
        </w:rPr>
        <w:t>19</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Като резултат Съдът на ЕС припомни, че въздушните превозвачи не са задължени да плащат компенсация в случаите, в които успеят да докажат, че забавянето или отмяната на полета е причинена поради извънредни обстоятелства.</w:t>
      </w:r>
      <w:r w:rsidRPr="00036AE2">
        <w:rPr>
          <w:rFonts w:ascii="Arial Narrow" w:hAnsi="Arial Narrow"/>
          <w:sz w:val="24"/>
          <w:szCs w:val="24"/>
          <w:vertAlign w:val="superscript"/>
        </w:rPr>
        <w:t>20</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p>
    <w:p w:rsidR="007B37A0" w:rsidRDefault="007B37A0" w:rsidP="00036AE2">
      <w:pPr>
        <w:pBdr>
          <w:bottom w:val="single" w:sz="6" w:space="1" w:color="auto"/>
        </w:pBdr>
        <w:spacing w:after="0" w:line="240" w:lineRule="auto"/>
        <w:ind w:firstLine="540"/>
        <w:jc w:val="center"/>
        <w:rPr>
          <w:rFonts w:ascii="Arial Narrow" w:hAnsi="Arial Narrow"/>
          <w:b/>
          <w:bCs/>
          <w:sz w:val="24"/>
          <w:szCs w:val="24"/>
        </w:rPr>
      </w:pPr>
      <w:r>
        <w:rPr>
          <w:rFonts w:ascii="Arial Narrow" w:hAnsi="Arial Narrow"/>
          <w:b/>
          <w:bCs/>
          <w:sz w:val="24"/>
          <w:szCs w:val="24"/>
        </w:rPr>
        <w:t>3</w:t>
      </w:r>
      <w:r w:rsidRPr="00ED5D1D">
        <w:rPr>
          <w:rFonts w:ascii="Arial Narrow" w:hAnsi="Arial Narrow"/>
          <w:b/>
          <w:bCs/>
          <w:sz w:val="24"/>
          <w:szCs w:val="24"/>
        </w:rPr>
        <w:t xml:space="preserve">. </w:t>
      </w:r>
      <w:r w:rsidRPr="00ED5D1D">
        <w:rPr>
          <w:rFonts w:ascii="Arial Narrow" w:hAnsi="Arial Narrow"/>
          <w:b/>
          <w:bCs/>
          <w:i/>
          <w:sz w:val="24"/>
          <w:szCs w:val="24"/>
          <w:lang w:val="en-US"/>
        </w:rPr>
        <w:t>K</w:t>
      </w:r>
      <w:r w:rsidRPr="00ED5D1D">
        <w:rPr>
          <w:rFonts w:ascii="Arial Narrow" w:hAnsi="Arial Narrow"/>
          <w:b/>
          <w:bCs/>
          <w:i/>
          <w:sz w:val="24"/>
          <w:szCs w:val="24"/>
        </w:rPr>
        <w:t>ü</w:t>
      </w:r>
      <w:r w:rsidRPr="00ED5D1D">
        <w:rPr>
          <w:rFonts w:ascii="Arial Narrow" w:hAnsi="Arial Narrow"/>
          <w:b/>
          <w:bCs/>
          <w:i/>
          <w:sz w:val="24"/>
          <w:szCs w:val="24"/>
          <w:lang w:val="en-US"/>
        </w:rPr>
        <w:t>c</w:t>
      </w:r>
      <w:r w:rsidRPr="00ED5D1D">
        <w:rPr>
          <w:rFonts w:ascii="Arial Narrow" w:hAnsi="Arial Narrow"/>
          <w:b/>
          <w:bCs/>
          <w:i/>
          <w:sz w:val="24"/>
          <w:szCs w:val="24"/>
        </w:rPr>
        <w:t>ü</w:t>
      </w:r>
      <w:proofErr w:type="spellStart"/>
      <w:r w:rsidRPr="00ED5D1D">
        <w:rPr>
          <w:rFonts w:ascii="Arial Narrow" w:hAnsi="Arial Narrow"/>
          <w:b/>
          <w:bCs/>
          <w:i/>
          <w:sz w:val="24"/>
          <w:szCs w:val="24"/>
          <w:lang w:val="en-US"/>
        </w:rPr>
        <w:t>kdeveci</w:t>
      </w:r>
      <w:proofErr w:type="spellEnd"/>
      <w:r w:rsidRPr="00ED5D1D">
        <w:rPr>
          <w:rFonts w:ascii="Arial Narrow" w:hAnsi="Arial Narrow"/>
          <w:b/>
          <w:bCs/>
          <w:sz w:val="24"/>
          <w:szCs w:val="24"/>
          <w:lang w:val="ru-RU"/>
        </w:rPr>
        <w:t xml:space="preserve">: </w:t>
      </w:r>
      <w:r w:rsidRPr="00ED5D1D">
        <w:rPr>
          <w:rFonts w:ascii="Arial Narrow" w:hAnsi="Arial Narrow"/>
          <w:b/>
          <w:bCs/>
          <w:sz w:val="24"/>
          <w:szCs w:val="24"/>
        </w:rPr>
        <w:t>хоризонталният директен ефект на принципа на недискриминация</w:t>
      </w:r>
    </w:p>
    <w:p w:rsidR="007B37A0" w:rsidRPr="00ED5D1D" w:rsidRDefault="007B37A0" w:rsidP="00036AE2">
      <w:pPr>
        <w:pBdr>
          <w:bottom w:val="single" w:sz="6" w:space="1" w:color="auto"/>
        </w:pBdr>
        <w:spacing w:after="0" w:line="240" w:lineRule="auto"/>
        <w:ind w:firstLine="540"/>
        <w:jc w:val="center"/>
        <w:rPr>
          <w:rFonts w:ascii="Arial Narrow" w:hAnsi="Arial Narrow"/>
          <w:b/>
          <w:bCs/>
          <w:sz w:val="24"/>
          <w:szCs w:val="24"/>
        </w:rPr>
      </w:pPr>
      <w:r w:rsidRPr="00ED5D1D">
        <w:rPr>
          <w:rFonts w:ascii="Arial Narrow" w:hAnsi="Arial Narrow"/>
          <w:b/>
          <w:bCs/>
          <w:sz w:val="24"/>
          <w:szCs w:val="24"/>
        </w:rPr>
        <w:t>въз основа на възраст</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Съдът на ЕС е постановил, че някои клаузи на Договора могат да произведат едновременно вертикален и хоризонтален ефект. Такъв пример е заложен в делото по повод свободното движение на работници.</w:t>
      </w:r>
      <w:r w:rsidRPr="00036AE2">
        <w:rPr>
          <w:rFonts w:ascii="Arial Narrow" w:hAnsi="Arial Narrow"/>
          <w:sz w:val="24"/>
          <w:szCs w:val="24"/>
          <w:vertAlign w:val="superscript"/>
        </w:rPr>
        <w:t>21</w:t>
      </w:r>
      <w:r w:rsidRPr="00036AE2">
        <w:rPr>
          <w:rFonts w:ascii="Arial Narrow" w:hAnsi="Arial Narrow"/>
          <w:sz w:val="24"/>
          <w:szCs w:val="24"/>
        </w:rPr>
        <w:t xml:space="preserve"> Същото е приложимо във връзка с принципа на недискриминация въз основа на пола като критерий за възнаграждение.</w:t>
      </w:r>
      <w:r w:rsidRPr="00036AE2">
        <w:rPr>
          <w:rFonts w:ascii="Arial Narrow" w:hAnsi="Arial Narrow"/>
          <w:sz w:val="24"/>
          <w:szCs w:val="24"/>
          <w:vertAlign w:val="superscript"/>
        </w:rPr>
        <w:t>22</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i/>
          <w:sz w:val="24"/>
          <w:szCs w:val="24"/>
        </w:rPr>
        <w:t xml:space="preserve"> </w:t>
      </w:r>
      <w:r w:rsidRPr="00036AE2">
        <w:rPr>
          <w:rFonts w:ascii="Arial Narrow" w:hAnsi="Arial Narrow"/>
          <w:sz w:val="24"/>
          <w:szCs w:val="24"/>
        </w:rPr>
        <w:t>Съдът постановява, че принципът на недискриминация въз основа на възраст може също така да произведе и хоризонтален директен ефект.</w:t>
      </w:r>
      <w:r w:rsidRPr="00036AE2">
        <w:rPr>
          <w:rFonts w:ascii="Arial Narrow" w:hAnsi="Arial Narrow"/>
          <w:sz w:val="24"/>
          <w:szCs w:val="24"/>
          <w:vertAlign w:val="superscript"/>
        </w:rPr>
        <w:t>23</w:t>
      </w:r>
      <w:r w:rsidRPr="00036AE2">
        <w:rPr>
          <w:rFonts w:ascii="Arial Narrow" w:hAnsi="Arial Narrow"/>
          <w:sz w:val="24"/>
          <w:szCs w:val="24"/>
        </w:rPr>
        <w:t xml:space="preserve"> В това дело националният съд сезира Съда с въпроса дали Параграф 622 от Германския граждански кодекс (ГГК), предвиждащ срокове за предупреждение за уволнение, които биват удължавани постепенно с продължителността на службата, но който параграф пренебрегва работния стаж до 25-годишна възраст, съответства на Правото на ЕС, а именно на Директива 2000/78, или на основния принцип на недискриминация въз основа на възраст. Националният съд също отправя запитване относно това дали този генерален принцип може да бъде приложен, за да бъде отхвърлен Параграф 622 ГГК в частен спор. Съдът отбелязва, че предполагаемото дискриминационно третиране настъпва след изтичането на периода, предназначен за транспонирането на Директива 2000/78. Той също проследява, че Параграф 622 ГГК попада в приложното поле на Директивата, вземайки предвид, че срокът на предизвестие е състояние на уволнение, предвидено в чл. 3 (1) (в) на Директива 2000/78.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Тъй като обжалваната норма попада в приложното поле на Директивата, то последната има „ефект на привеждане в рамките на изпълнение на Правото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xml:space="preserve"> </w:t>
      </w:r>
      <w:r w:rsidRPr="00036AE2">
        <w:rPr>
          <w:rFonts w:ascii="Arial Narrow" w:hAnsi="Arial Narrow"/>
          <w:sz w:val="24"/>
          <w:szCs w:val="24"/>
          <w:lang w:val="ru-RU"/>
        </w:rPr>
        <w:t>[</w:t>
      </w:r>
      <w:r w:rsidRPr="00036AE2">
        <w:rPr>
          <w:rFonts w:ascii="Arial Narrow" w:hAnsi="Arial Narrow"/>
          <w:sz w:val="24"/>
          <w:szCs w:val="24"/>
        </w:rPr>
        <w:t>Параграф 622 ГГК</w:t>
      </w:r>
      <w:r w:rsidRPr="00036AE2">
        <w:rPr>
          <w:rFonts w:ascii="Arial Narrow" w:hAnsi="Arial Narrow"/>
          <w:sz w:val="24"/>
          <w:szCs w:val="24"/>
          <w:lang w:val="ru-RU"/>
        </w:rPr>
        <w:t>]</w:t>
      </w:r>
      <w:r w:rsidRPr="00036AE2">
        <w:rPr>
          <w:rFonts w:ascii="Arial Narrow" w:hAnsi="Arial Narrow"/>
          <w:sz w:val="24"/>
          <w:szCs w:val="24"/>
        </w:rPr>
        <w:t>“.</w:t>
      </w:r>
      <w:r w:rsidRPr="00036AE2">
        <w:rPr>
          <w:rFonts w:ascii="Arial Narrow" w:hAnsi="Arial Narrow"/>
          <w:sz w:val="24"/>
          <w:szCs w:val="24"/>
          <w:vertAlign w:val="superscript"/>
        </w:rPr>
        <w:t>24</w:t>
      </w:r>
      <w:r w:rsidRPr="00036AE2">
        <w:rPr>
          <w:rFonts w:ascii="Arial Narrow" w:hAnsi="Arial Narrow"/>
          <w:sz w:val="24"/>
          <w:szCs w:val="24"/>
        </w:rPr>
        <w:t xml:space="preserve"> В по-нататъшните си наблюдения Съдът открива, че, съгласно Параграф 622 ГГК, служители, които подписват трудов договор преди да са навършили 25 години, се ползват от по-кратък срок на предизвестие, за разлика от тези, започнали работа в по-късна възраст. Следователно първата категория служители се третира по-неблагоприятно, единствено въз основа на тяхната възраст.</w:t>
      </w:r>
      <w:r w:rsidRPr="00036AE2">
        <w:rPr>
          <w:rFonts w:ascii="Arial Narrow" w:hAnsi="Arial Narrow"/>
          <w:sz w:val="24"/>
          <w:szCs w:val="24"/>
          <w:vertAlign w:val="superscript"/>
        </w:rPr>
        <w:t>25</w:t>
      </w:r>
      <w:r w:rsidRPr="00036AE2">
        <w:rPr>
          <w:rFonts w:ascii="Arial Narrow" w:hAnsi="Arial Narrow"/>
          <w:sz w:val="24"/>
          <w:szCs w:val="24"/>
        </w:rPr>
        <w:t xml:space="preserve"> Съдът на ЕС постановява, че такова неравноправие не може да бъде оправдано, тъй като обжалваната норма представлява несъответен отговор на принципа на пропорционалност, имайки предвид съответното удължаване на срока на предизвестие паралелно със старшинството на служителя и съответното му съкращаване при встъпване в длъжност преди 25-годишна възраст, дори ако засегнатият субект има дългогодишен стаж до момента на освобождаването му.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Обективно съществува противоречие между Параграф 622 ГГК и принципа на недискриминация въз основа на възраст, така, както е изразен в Директива 2000/78. Поради тази причина Съдът на ЕС е сезиран </w:t>
      </w:r>
      <w:r w:rsidRPr="00036AE2">
        <w:rPr>
          <w:rFonts w:ascii="Arial Narrow" w:hAnsi="Arial Narrow"/>
          <w:sz w:val="24"/>
          <w:szCs w:val="24"/>
        </w:rPr>
        <w:lastRenderedPageBreak/>
        <w:t>да прецени дали клаузата да бъде отхвърлена. След като припомня, че една директива не би могла да продуцира хоризонтален директен ефект</w:t>
      </w:r>
      <w:r w:rsidRPr="00036AE2">
        <w:rPr>
          <w:rFonts w:ascii="Arial Narrow" w:hAnsi="Arial Narrow"/>
          <w:sz w:val="24"/>
          <w:szCs w:val="24"/>
          <w:vertAlign w:val="superscript"/>
        </w:rPr>
        <w:t>26</w:t>
      </w:r>
      <w:r w:rsidRPr="00036AE2">
        <w:rPr>
          <w:rFonts w:ascii="Arial Narrow" w:hAnsi="Arial Narrow"/>
          <w:sz w:val="24"/>
          <w:szCs w:val="24"/>
        </w:rPr>
        <w:t>, той отбелязва, че вътрешното право не може да бъде интерпретирано „в смисъла на формулировката и предназначението на въпросната директива“</w:t>
      </w:r>
      <w:r w:rsidRPr="00036AE2">
        <w:rPr>
          <w:rFonts w:ascii="Arial Narrow" w:hAnsi="Arial Narrow"/>
          <w:sz w:val="24"/>
          <w:szCs w:val="24"/>
          <w:vertAlign w:val="superscript"/>
        </w:rPr>
        <w:t>27</w:t>
      </w:r>
      <w:r w:rsidRPr="00036AE2">
        <w:rPr>
          <w:rFonts w:ascii="Arial Narrow" w:hAnsi="Arial Narrow"/>
          <w:sz w:val="24"/>
          <w:szCs w:val="24"/>
        </w:rPr>
        <w:t>, тъй като тази опция се изключва от националния съд.</w:t>
      </w:r>
      <w:r w:rsidRPr="00036AE2">
        <w:rPr>
          <w:rFonts w:ascii="Arial Narrow" w:hAnsi="Arial Narrow"/>
          <w:sz w:val="24"/>
          <w:szCs w:val="24"/>
          <w:vertAlign w:val="superscript"/>
        </w:rPr>
        <w:t>28</w:t>
      </w:r>
      <w:r w:rsidRPr="00036AE2">
        <w:rPr>
          <w:rFonts w:ascii="Arial Narrow" w:hAnsi="Arial Narrow"/>
          <w:sz w:val="24"/>
          <w:szCs w:val="24"/>
        </w:rPr>
        <w:t xml:space="preserve"> Позовавайки се на предишното си постановление по делото </w:t>
      </w:r>
      <w:proofErr w:type="spellStart"/>
      <w:r w:rsidRPr="00036AE2">
        <w:rPr>
          <w:rFonts w:ascii="Arial Narrow" w:hAnsi="Arial Narrow"/>
          <w:i/>
          <w:sz w:val="24"/>
          <w:szCs w:val="24"/>
          <w:lang w:val="en-US"/>
        </w:rPr>
        <w:t>Mangold</w:t>
      </w:r>
      <w:proofErr w:type="spellEnd"/>
      <w:r w:rsidRPr="00036AE2">
        <w:rPr>
          <w:rFonts w:ascii="Arial Narrow" w:hAnsi="Arial Narrow"/>
          <w:sz w:val="24"/>
          <w:szCs w:val="24"/>
          <w:vertAlign w:val="superscript"/>
        </w:rPr>
        <w:t>29</w:t>
      </w:r>
      <w:r w:rsidRPr="00036AE2">
        <w:rPr>
          <w:rFonts w:ascii="Arial Narrow" w:hAnsi="Arial Narrow"/>
          <w:sz w:val="24"/>
          <w:szCs w:val="24"/>
        </w:rPr>
        <w:t xml:space="preserve">, Съдът потвърждава, че „Директива 2000/78 единствено дава израз, но не установява принципа на равно третиране въз основа на служба и професия, и потвърждава, че принципът на недискриминация, базиран на възраст, е главен принцип на Правото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изискващ специфично прилагане на основния принцип на равно третиране“.</w:t>
      </w:r>
      <w:r w:rsidRPr="00036AE2">
        <w:rPr>
          <w:rFonts w:ascii="Arial Narrow" w:hAnsi="Arial Narrow"/>
          <w:sz w:val="24"/>
          <w:szCs w:val="24"/>
          <w:vertAlign w:val="superscript"/>
        </w:rPr>
        <w:t>30</w:t>
      </w:r>
      <w:r w:rsidRPr="00036AE2">
        <w:rPr>
          <w:rFonts w:ascii="Arial Narrow" w:hAnsi="Arial Narrow"/>
          <w:sz w:val="24"/>
          <w:szCs w:val="24"/>
        </w:rPr>
        <w:t xml:space="preserve"> В ключовия пасаж на решението, което налага пълно цитиране, Съдът на ЕС постановява: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 xml:space="preserve"> „При тези обстоятелства, за националния съд, разглеждайки спора по повод принципа на недискриминация въз основа на възраст, изразен в Директива 2000/78, възниква задължение да предостави в рамките на своята компетентност правната защита, която произтича за физическите лица от Правото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също както и да осигури пълната ефективност на това право, дори ако това изисква неприлагането на вътрешноправна норма, противоречаща на този принцип.“</w:t>
      </w:r>
      <w:r w:rsidRPr="00036AE2">
        <w:rPr>
          <w:rFonts w:ascii="Arial Narrow" w:hAnsi="Arial Narrow"/>
          <w:sz w:val="24"/>
          <w:szCs w:val="24"/>
          <w:vertAlign w:val="superscript"/>
        </w:rPr>
        <w:t>31</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 xml:space="preserve">Преди Съдът на ЕС да постанови своето решение по делото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sz w:val="24"/>
          <w:szCs w:val="24"/>
          <w:vertAlign w:val="superscript"/>
          <w:lang w:val="ru-RU"/>
        </w:rPr>
        <w:t xml:space="preserve"> </w:t>
      </w:r>
      <w:r w:rsidRPr="00036AE2">
        <w:rPr>
          <w:rFonts w:ascii="Arial Narrow" w:hAnsi="Arial Narrow"/>
          <w:sz w:val="24"/>
          <w:szCs w:val="24"/>
        </w:rPr>
        <w:t xml:space="preserve">, няколко възражения са били отправяни срещу хоризонталното прилагане на основни принципи на Правото на ЕС. Така например генералният адвокат </w:t>
      </w:r>
      <w:proofErr w:type="spellStart"/>
      <w:r w:rsidRPr="00036AE2">
        <w:rPr>
          <w:rFonts w:ascii="Arial Narrow" w:hAnsi="Arial Narrow"/>
          <w:sz w:val="24"/>
          <w:szCs w:val="24"/>
        </w:rPr>
        <w:t>Руис-Харабо</w:t>
      </w:r>
      <w:proofErr w:type="spellEnd"/>
      <w:r w:rsidRPr="00036AE2">
        <w:rPr>
          <w:rFonts w:ascii="Arial Narrow" w:hAnsi="Arial Narrow"/>
          <w:sz w:val="24"/>
          <w:szCs w:val="24"/>
        </w:rPr>
        <w:t xml:space="preserve"> </w:t>
      </w:r>
      <w:proofErr w:type="spellStart"/>
      <w:r w:rsidRPr="00036AE2">
        <w:rPr>
          <w:rFonts w:ascii="Arial Narrow" w:hAnsi="Arial Narrow"/>
          <w:sz w:val="24"/>
          <w:szCs w:val="24"/>
        </w:rPr>
        <w:t>Коломер</w:t>
      </w:r>
      <w:proofErr w:type="spellEnd"/>
      <w:r w:rsidRPr="00036AE2">
        <w:rPr>
          <w:rFonts w:ascii="Arial Narrow" w:hAnsi="Arial Narrow"/>
          <w:sz w:val="24"/>
          <w:szCs w:val="24"/>
        </w:rPr>
        <w:t>, във второто си заключение по делото</w:t>
      </w:r>
      <w:r w:rsidRPr="00036AE2">
        <w:rPr>
          <w:rFonts w:ascii="Arial Narrow" w:hAnsi="Arial Narrow"/>
          <w:sz w:val="24"/>
          <w:szCs w:val="24"/>
          <w:lang w:val="ru-RU"/>
        </w:rPr>
        <w:t xml:space="preserve"> </w:t>
      </w:r>
      <w:r w:rsidRPr="00036AE2">
        <w:rPr>
          <w:rFonts w:ascii="Arial Narrow" w:hAnsi="Arial Narrow"/>
          <w:i/>
          <w:sz w:val="24"/>
          <w:szCs w:val="24"/>
          <w:lang w:val="en-US"/>
        </w:rPr>
        <w:t>Pfeiffer</w:t>
      </w:r>
      <w:r w:rsidRPr="00036AE2">
        <w:rPr>
          <w:rFonts w:ascii="Arial Narrow" w:hAnsi="Arial Narrow"/>
          <w:sz w:val="24"/>
          <w:szCs w:val="24"/>
        </w:rPr>
        <w:t>,</w:t>
      </w:r>
      <w:r w:rsidRPr="00036AE2">
        <w:rPr>
          <w:rFonts w:ascii="Arial Narrow" w:hAnsi="Arial Narrow"/>
          <w:i/>
          <w:sz w:val="24"/>
          <w:szCs w:val="24"/>
          <w:lang w:val="ru-RU"/>
        </w:rPr>
        <w:t xml:space="preserve"> </w:t>
      </w:r>
      <w:r w:rsidRPr="00036AE2">
        <w:rPr>
          <w:rFonts w:ascii="Arial Narrow" w:hAnsi="Arial Narrow"/>
          <w:sz w:val="24"/>
          <w:szCs w:val="24"/>
        </w:rPr>
        <w:t>подкрепя хоризонталния директен ефект на директивите с оглед на това те да отхвърлят несъвместими национални правила,</w:t>
      </w:r>
      <w:r w:rsidRPr="00036AE2">
        <w:rPr>
          <w:rFonts w:ascii="Arial Narrow" w:hAnsi="Arial Narrow"/>
          <w:sz w:val="24"/>
          <w:szCs w:val="24"/>
          <w:vertAlign w:val="superscript"/>
        </w:rPr>
        <w:t xml:space="preserve">32 </w:t>
      </w:r>
      <w:r w:rsidRPr="00036AE2">
        <w:rPr>
          <w:rFonts w:ascii="Arial Narrow" w:hAnsi="Arial Narrow"/>
          <w:sz w:val="24"/>
          <w:szCs w:val="24"/>
        </w:rPr>
        <w:t xml:space="preserve">впоследствие обсъждано в делото </w:t>
      </w:r>
      <w:proofErr w:type="spellStart"/>
      <w:r w:rsidRPr="00036AE2">
        <w:rPr>
          <w:rFonts w:ascii="Arial Narrow" w:hAnsi="Arial Narrow"/>
          <w:i/>
          <w:sz w:val="24"/>
          <w:szCs w:val="24"/>
          <w:lang w:val="en-US"/>
        </w:rPr>
        <w:t>Michaeler</w:t>
      </w:r>
      <w:proofErr w:type="spellEnd"/>
      <w:r w:rsidRPr="00036AE2">
        <w:rPr>
          <w:rFonts w:ascii="Arial Narrow" w:hAnsi="Arial Narrow"/>
          <w:sz w:val="24"/>
          <w:szCs w:val="24"/>
          <w:lang w:val="ru-RU"/>
        </w:rPr>
        <w:t xml:space="preserve">, </w:t>
      </w:r>
      <w:r w:rsidRPr="00036AE2">
        <w:rPr>
          <w:rFonts w:ascii="Arial Narrow" w:hAnsi="Arial Narrow"/>
          <w:sz w:val="24"/>
          <w:szCs w:val="24"/>
        </w:rPr>
        <w:t xml:space="preserve">изразяващо се в твърдението, че хоризонталното приложение на основни принципи на Правото на ЕС би „превърнало (…) типични актове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xml:space="preserve"> в опразнени от съдържание норми</w:t>
      </w:r>
      <w:r w:rsidRPr="00036AE2">
        <w:rPr>
          <w:rFonts w:ascii="Arial Narrow" w:hAnsi="Arial Narrow"/>
          <w:sz w:val="24"/>
          <w:szCs w:val="24"/>
          <w:lang w:val="ru-RU"/>
        </w:rPr>
        <w:t xml:space="preserve">, </w:t>
      </w:r>
      <w:r w:rsidRPr="00036AE2">
        <w:rPr>
          <w:rFonts w:ascii="Arial Narrow" w:hAnsi="Arial Narrow"/>
          <w:sz w:val="24"/>
          <w:szCs w:val="24"/>
        </w:rPr>
        <w:t>които лесно биха могли да бъдат заменени с основните принципи“.</w:t>
      </w:r>
      <w:r w:rsidRPr="00036AE2">
        <w:rPr>
          <w:rFonts w:ascii="Arial Narrow" w:hAnsi="Arial Narrow"/>
          <w:sz w:val="24"/>
          <w:szCs w:val="24"/>
          <w:vertAlign w:val="superscript"/>
        </w:rPr>
        <w:t xml:space="preserve">33 </w:t>
      </w:r>
      <w:r w:rsidRPr="00036AE2">
        <w:rPr>
          <w:rFonts w:ascii="Arial Narrow" w:hAnsi="Arial Narrow"/>
          <w:sz w:val="24"/>
          <w:szCs w:val="24"/>
        </w:rPr>
        <w:t xml:space="preserve">Така също генералният адвокат </w:t>
      </w:r>
      <w:proofErr w:type="spellStart"/>
      <w:r w:rsidRPr="00036AE2">
        <w:rPr>
          <w:rFonts w:ascii="Arial Narrow" w:hAnsi="Arial Narrow"/>
          <w:sz w:val="24"/>
          <w:szCs w:val="24"/>
        </w:rPr>
        <w:t>Кокот</w:t>
      </w:r>
      <w:proofErr w:type="spellEnd"/>
      <w:r w:rsidRPr="00036AE2">
        <w:rPr>
          <w:rFonts w:ascii="Arial Narrow" w:hAnsi="Arial Narrow"/>
          <w:sz w:val="24"/>
          <w:szCs w:val="24"/>
        </w:rPr>
        <w:t xml:space="preserve"> изказва мнение по делото </w:t>
      </w:r>
      <w:proofErr w:type="spellStart"/>
      <w:r w:rsidRPr="00036AE2">
        <w:rPr>
          <w:rFonts w:ascii="Arial Narrow" w:hAnsi="Arial Narrow"/>
          <w:i/>
          <w:sz w:val="24"/>
          <w:szCs w:val="24"/>
          <w:lang w:val="en-US"/>
        </w:rPr>
        <w:t>Kofoed</w:t>
      </w:r>
      <w:proofErr w:type="spellEnd"/>
      <w:r w:rsidRPr="00036AE2">
        <w:rPr>
          <w:rFonts w:ascii="Arial Narrow" w:hAnsi="Arial Narrow"/>
          <w:sz w:val="24"/>
          <w:szCs w:val="24"/>
        </w:rPr>
        <w:t>, застъпващо идеята, че страните не би трябвало да имат възможността да се уповават на основен принцип на Правото на ЕС когато последният се прилага със специфичен ефект и е изразен по конкретен начин в директива. Но имайки предвид, че съдържанието на основните принципи е „не съвсем ясно и конкретно“, генералният адвокат смята, че за положения, попадащи в обхвата на директива, „</w:t>
      </w:r>
      <w:r w:rsidRPr="00036AE2">
        <w:rPr>
          <w:rFonts w:ascii="Arial Narrow" w:hAnsi="Arial Narrow"/>
          <w:sz w:val="24"/>
          <w:szCs w:val="24"/>
          <w:lang w:val="ru-RU"/>
        </w:rPr>
        <w:t>[</w:t>
      </w:r>
      <w:r w:rsidRPr="00036AE2">
        <w:rPr>
          <w:rFonts w:ascii="Arial Narrow" w:hAnsi="Arial Narrow"/>
          <w:sz w:val="24"/>
          <w:szCs w:val="24"/>
        </w:rPr>
        <w:t>в противен случай</w:t>
      </w:r>
      <w:r w:rsidRPr="00036AE2">
        <w:rPr>
          <w:rFonts w:ascii="Arial Narrow" w:hAnsi="Arial Narrow"/>
          <w:sz w:val="24"/>
          <w:szCs w:val="24"/>
          <w:lang w:val="ru-RU"/>
        </w:rPr>
        <w:t>]</w:t>
      </w:r>
      <w:r w:rsidRPr="00036AE2">
        <w:rPr>
          <w:rFonts w:ascii="Arial Narrow" w:hAnsi="Arial Narrow"/>
          <w:sz w:val="24"/>
          <w:szCs w:val="24"/>
        </w:rPr>
        <w:t xml:space="preserve"> би имало опасност (…) за съгласуваните цели на директивата (…) да бъдат отслабени, и правната сигурност (…), която трябва да бъде постигната, би била застрашена“.</w:t>
      </w:r>
      <w:r w:rsidRPr="00036AE2">
        <w:rPr>
          <w:rFonts w:ascii="Arial Narrow" w:hAnsi="Arial Narrow"/>
          <w:sz w:val="24"/>
          <w:szCs w:val="24"/>
          <w:vertAlign w:val="superscript"/>
        </w:rPr>
        <w:t>34</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контекста на Директива 2000/78, генералният адвокат </w:t>
      </w:r>
      <w:proofErr w:type="spellStart"/>
      <w:r w:rsidRPr="00036AE2">
        <w:rPr>
          <w:rFonts w:ascii="Arial Narrow" w:hAnsi="Arial Narrow"/>
          <w:sz w:val="24"/>
          <w:szCs w:val="24"/>
        </w:rPr>
        <w:t>Мазак</w:t>
      </w:r>
      <w:proofErr w:type="spellEnd"/>
      <w:r w:rsidRPr="00036AE2">
        <w:rPr>
          <w:rFonts w:ascii="Arial Narrow" w:hAnsi="Arial Narrow"/>
          <w:sz w:val="24"/>
          <w:szCs w:val="24"/>
        </w:rPr>
        <w:t xml:space="preserve"> отбелязва по делото </w:t>
      </w:r>
      <w:r w:rsidRPr="00036AE2">
        <w:rPr>
          <w:rFonts w:ascii="Arial Narrow" w:hAnsi="Arial Narrow"/>
          <w:i/>
          <w:sz w:val="24"/>
          <w:szCs w:val="24"/>
          <w:lang w:val="en-US"/>
        </w:rPr>
        <w:t>Palacios</w:t>
      </w:r>
      <w:r w:rsidRPr="00036AE2">
        <w:rPr>
          <w:rFonts w:ascii="Arial Narrow" w:hAnsi="Arial Narrow"/>
          <w:i/>
          <w:sz w:val="24"/>
          <w:szCs w:val="24"/>
          <w:lang w:val="ru-RU"/>
        </w:rPr>
        <w:t xml:space="preserve"> </w:t>
      </w:r>
      <w:r w:rsidRPr="00036AE2">
        <w:rPr>
          <w:rFonts w:ascii="Arial Narrow" w:hAnsi="Arial Narrow"/>
          <w:i/>
          <w:sz w:val="24"/>
          <w:szCs w:val="24"/>
          <w:lang w:val="en-US"/>
        </w:rPr>
        <w:t>de</w:t>
      </w:r>
      <w:r w:rsidRPr="00036AE2">
        <w:rPr>
          <w:rFonts w:ascii="Arial Narrow" w:hAnsi="Arial Narrow"/>
          <w:i/>
          <w:sz w:val="24"/>
          <w:szCs w:val="24"/>
          <w:lang w:val="ru-RU"/>
        </w:rPr>
        <w:t xml:space="preserve"> </w:t>
      </w:r>
      <w:r w:rsidRPr="00036AE2">
        <w:rPr>
          <w:rFonts w:ascii="Arial Narrow" w:hAnsi="Arial Narrow"/>
          <w:i/>
          <w:sz w:val="24"/>
          <w:szCs w:val="24"/>
          <w:lang w:val="en-US"/>
        </w:rPr>
        <w:t>la</w:t>
      </w:r>
      <w:r w:rsidRPr="00036AE2">
        <w:rPr>
          <w:rFonts w:ascii="Arial Narrow" w:hAnsi="Arial Narrow"/>
          <w:i/>
          <w:sz w:val="24"/>
          <w:szCs w:val="24"/>
          <w:lang w:val="ru-RU"/>
        </w:rPr>
        <w:t xml:space="preserve"> </w:t>
      </w:r>
      <w:r w:rsidRPr="00036AE2">
        <w:rPr>
          <w:rFonts w:ascii="Arial Narrow" w:hAnsi="Arial Narrow"/>
          <w:i/>
          <w:sz w:val="24"/>
          <w:szCs w:val="24"/>
          <w:lang w:val="en-US"/>
        </w:rPr>
        <w:t>Villa</w:t>
      </w:r>
      <w:r w:rsidRPr="00036AE2">
        <w:rPr>
          <w:rFonts w:ascii="Arial Narrow" w:hAnsi="Arial Narrow"/>
          <w:sz w:val="24"/>
          <w:szCs w:val="24"/>
          <w:lang w:val="ru-RU"/>
        </w:rPr>
        <w:t xml:space="preserve">, </w:t>
      </w:r>
      <w:r w:rsidRPr="00036AE2">
        <w:rPr>
          <w:rFonts w:ascii="Arial Narrow" w:hAnsi="Arial Narrow"/>
          <w:sz w:val="24"/>
          <w:szCs w:val="24"/>
        </w:rPr>
        <w:t>че, ако основните принципи на ЕС могат да се използват независимо от изпълнителната власт на Съюза, не само ще бъде застрашена правната сигурност – задължение, непредвидено във вътрешното право, би било наложено на определени субекти – но и вертикалното, и хоризонталното разпределение на компетентност, предвидено в чл. 19 ДФЕС, също би било нарушено.</w:t>
      </w:r>
      <w:r w:rsidRPr="00036AE2">
        <w:rPr>
          <w:rFonts w:ascii="Arial Narrow" w:hAnsi="Arial Narrow"/>
          <w:sz w:val="24"/>
          <w:szCs w:val="24"/>
          <w:vertAlign w:val="superscript"/>
        </w:rPr>
        <w:t>35</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Вертикалното разпределение на правомощия би било заплашено, тъй като методът на единодушие, залегнал в тази клауза, защитава компетенциите на държавите-членки. Хоризонталното разпределение на компетентност би било накърнено поради това, че прилагането на основните принципи на Правото на ЕС между частни субекти е изложено на риска поради безсмисленото изпълняване на решението на Съвета да се приеме, че при Съюзното законодателство липсва хоризонтален директен ефект.</w:t>
      </w:r>
      <w:r w:rsidRPr="00036AE2">
        <w:rPr>
          <w:rFonts w:ascii="Arial Narrow" w:hAnsi="Arial Narrow"/>
          <w:sz w:val="24"/>
          <w:szCs w:val="24"/>
          <w:vertAlign w:val="superscript"/>
        </w:rPr>
        <w:t>36</w:t>
      </w:r>
      <w:r w:rsidRPr="00036AE2">
        <w:rPr>
          <w:rFonts w:ascii="Arial Narrow" w:hAnsi="Arial Narrow"/>
          <w:sz w:val="24"/>
          <w:szCs w:val="24"/>
        </w:rPr>
        <w:t xml:space="preserve"> В по-нататъшния развой на събитията, в делото </w:t>
      </w:r>
      <w:r w:rsidRPr="00036AE2">
        <w:rPr>
          <w:rFonts w:ascii="Arial Narrow" w:hAnsi="Arial Narrow"/>
          <w:i/>
          <w:sz w:val="24"/>
          <w:szCs w:val="24"/>
          <w:lang w:val="en-US"/>
        </w:rPr>
        <w:t>Dominguez</w:t>
      </w:r>
      <w:r w:rsidRPr="00036AE2">
        <w:rPr>
          <w:rFonts w:ascii="Arial Narrow" w:hAnsi="Arial Narrow"/>
          <w:sz w:val="24"/>
          <w:szCs w:val="24"/>
          <w:lang w:val="ru-RU"/>
        </w:rPr>
        <w:t xml:space="preserve">, </w:t>
      </w:r>
      <w:r w:rsidRPr="00036AE2">
        <w:rPr>
          <w:rFonts w:ascii="Arial Narrow" w:hAnsi="Arial Narrow"/>
          <w:sz w:val="24"/>
          <w:szCs w:val="24"/>
        </w:rPr>
        <w:t xml:space="preserve">генералният адвокат </w:t>
      </w:r>
      <w:proofErr w:type="spellStart"/>
      <w:r w:rsidRPr="00036AE2">
        <w:rPr>
          <w:rFonts w:ascii="Arial Narrow" w:hAnsi="Arial Narrow"/>
          <w:sz w:val="24"/>
          <w:szCs w:val="24"/>
        </w:rPr>
        <w:t>Трстеняк</w:t>
      </w:r>
      <w:proofErr w:type="spellEnd"/>
      <w:r w:rsidRPr="00036AE2">
        <w:rPr>
          <w:rFonts w:ascii="Arial Narrow" w:hAnsi="Arial Narrow"/>
          <w:sz w:val="24"/>
          <w:szCs w:val="24"/>
        </w:rPr>
        <w:t xml:space="preserve"> изразява критиката си относно подхода, следван от Съда в делото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i/>
          <w:sz w:val="24"/>
          <w:szCs w:val="24"/>
        </w:rPr>
        <w:t>.</w:t>
      </w:r>
      <w:r w:rsidRPr="00036AE2">
        <w:rPr>
          <w:rFonts w:ascii="Arial Narrow" w:hAnsi="Arial Narrow"/>
          <w:sz w:val="24"/>
          <w:szCs w:val="24"/>
          <w:vertAlign w:val="superscript"/>
        </w:rPr>
        <w:t>37</w:t>
      </w:r>
      <w:r w:rsidRPr="00036AE2">
        <w:rPr>
          <w:rFonts w:ascii="Arial Narrow" w:hAnsi="Arial Narrow"/>
          <w:sz w:val="24"/>
          <w:szCs w:val="24"/>
        </w:rPr>
        <w:t xml:space="preserve"> В този смисъл тя смята, че такъв подход би могъл да продуцира „необратима „</w:t>
      </w:r>
      <w:proofErr w:type="spellStart"/>
      <w:r w:rsidRPr="00036AE2">
        <w:rPr>
          <w:rFonts w:ascii="Arial Narrow" w:hAnsi="Arial Narrow"/>
          <w:sz w:val="24"/>
          <w:szCs w:val="24"/>
        </w:rPr>
        <w:t>осификация</w:t>
      </w:r>
      <w:proofErr w:type="spellEnd"/>
      <w:r w:rsidRPr="00036AE2">
        <w:rPr>
          <w:rFonts w:ascii="Arial Narrow" w:hAnsi="Arial Narrow"/>
          <w:sz w:val="24"/>
          <w:szCs w:val="24"/>
        </w:rPr>
        <w:t xml:space="preserve">“, т.е. закостеняване на съдържанието на нормата </w:t>
      </w:r>
      <w:r w:rsidRPr="00036AE2">
        <w:rPr>
          <w:rFonts w:ascii="Arial Narrow" w:hAnsi="Arial Narrow"/>
          <w:sz w:val="24"/>
          <w:szCs w:val="24"/>
          <w:lang w:val="ru-RU"/>
        </w:rPr>
        <w:t>[</w:t>
      </w:r>
      <w:r w:rsidRPr="00036AE2">
        <w:rPr>
          <w:rFonts w:ascii="Arial Narrow" w:hAnsi="Arial Narrow"/>
          <w:sz w:val="24"/>
          <w:szCs w:val="24"/>
        </w:rPr>
        <w:t>уредена в Директива 2000/78</w:t>
      </w:r>
      <w:r w:rsidRPr="00036AE2">
        <w:rPr>
          <w:rFonts w:ascii="Arial Narrow" w:hAnsi="Arial Narrow"/>
          <w:sz w:val="24"/>
          <w:szCs w:val="24"/>
          <w:lang w:val="ru-RU"/>
        </w:rPr>
        <w:t>]</w:t>
      </w:r>
      <w:r w:rsidRPr="00036AE2">
        <w:rPr>
          <w:rFonts w:ascii="Arial Narrow" w:hAnsi="Arial Narrow"/>
          <w:sz w:val="24"/>
          <w:szCs w:val="24"/>
        </w:rPr>
        <w:t>. Като резултат от обединяването на все повече и повече законодателно съдържание от директива в обхвата на защита на основен принцип, законодателната власт би била лишена от възможността да осъществява изменения в директивата, особено защото по този начин такова съдържание би било издигнато до правното положение на първично право, върху което не би могло да се въздейства“.</w:t>
      </w:r>
      <w:r w:rsidRPr="00036AE2">
        <w:rPr>
          <w:rFonts w:ascii="Arial Narrow" w:hAnsi="Arial Narrow"/>
          <w:sz w:val="24"/>
          <w:szCs w:val="24"/>
          <w:vertAlign w:val="superscript"/>
        </w:rPr>
        <w:t>38</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i/>
          <w:sz w:val="24"/>
          <w:szCs w:val="24"/>
        </w:rPr>
        <w:t xml:space="preserve"> </w:t>
      </w:r>
      <w:r w:rsidRPr="00036AE2">
        <w:rPr>
          <w:rFonts w:ascii="Arial Narrow" w:hAnsi="Arial Narrow"/>
          <w:sz w:val="24"/>
          <w:szCs w:val="24"/>
        </w:rPr>
        <w:t xml:space="preserve">генералният адвокат </w:t>
      </w:r>
      <w:proofErr w:type="spellStart"/>
      <w:r w:rsidRPr="00036AE2">
        <w:rPr>
          <w:rFonts w:ascii="Arial Narrow" w:hAnsi="Arial Narrow"/>
          <w:sz w:val="24"/>
          <w:szCs w:val="24"/>
        </w:rPr>
        <w:t>Бот</w:t>
      </w:r>
      <w:proofErr w:type="spellEnd"/>
      <w:r w:rsidRPr="00036AE2">
        <w:rPr>
          <w:rFonts w:ascii="Arial Narrow" w:hAnsi="Arial Narrow"/>
          <w:sz w:val="24"/>
          <w:szCs w:val="24"/>
        </w:rPr>
        <w:t xml:space="preserve"> твърди, че хоризонталното приложение на основния принцип на недискриминация въз основа на възраст не влиза в противоречие с властта на Съюзния законодател. Той постулира, че нормативният критерий за измерване на съответствието между вътрешното и Съюзното право остава приложимата директива, а не основният принцип, залегнал в нея.</w:t>
      </w:r>
      <w:r w:rsidRPr="00036AE2">
        <w:rPr>
          <w:rFonts w:ascii="Arial Narrow" w:hAnsi="Arial Narrow"/>
          <w:sz w:val="24"/>
          <w:szCs w:val="24"/>
          <w:vertAlign w:val="superscript"/>
        </w:rPr>
        <w:t>39</w:t>
      </w:r>
      <w:r w:rsidRPr="00036AE2">
        <w:rPr>
          <w:rFonts w:ascii="Arial Narrow" w:hAnsi="Arial Narrow"/>
          <w:sz w:val="24"/>
          <w:szCs w:val="24"/>
        </w:rPr>
        <w:t xml:space="preserve"> Само в по-късен етап този </w:t>
      </w:r>
      <w:r w:rsidRPr="00036AE2">
        <w:rPr>
          <w:rFonts w:ascii="Arial Narrow" w:hAnsi="Arial Narrow"/>
          <w:sz w:val="24"/>
          <w:szCs w:val="24"/>
        </w:rPr>
        <w:lastRenderedPageBreak/>
        <w:t xml:space="preserve">принцип може да стане релевантен, и то в ситуацията на оценяване на изводите, произтичащи от факта на несъответствие между вътрешноправна норма и директива. При изследването на това дали вътрешноправна норма е дискриминираща, Съдът на ЕС ограничава себе си до тълкуване на Директива 2000/78. В частност се взема под внимание ограничението или </w:t>
      </w:r>
      <w:proofErr w:type="spellStart"/>
      <w:r w:rsidRPr="00036AE2">
        <w:rPr>
          <w:rFonts w:ascii="Arial Narrow" w:hAnsi="Arial Narrow"/>
          <w:sz w:val="24"/>
          <w:szCs w:val="24"/>
        </w:rPr>
        <w:t>дерогацията</w:t>
      </w:r>
      <w:proofErr w:type="spellEnd"/>
      <w:r w:rsidRPr="00036AE2">
        <w:rPr>
          <w:rFonts w:ascii="Arial Narrow" w:hAnsi="Arial Narrow"/>
          <w:sz w:val="24"/>
          <w:szCs w:val="24"/>
        </w:rPr>
        <w:t xml:space="preserve"> на принципа на равно третиране, въведено от Съюзния законодател. Следователно предложението на генералния адвокат е този двустепенен анализ да не се отразява на приоритета, отреден на законодателството на ЕС.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Видно е, че </w:t>
      </w:r>
      <w:proofErr w:type="spellStart"/>
      <w:r w:rsidRPr="00036AE2">
        <w:rPr>
          <w:rFonts w:ascii="Arial Narrow" w:hAnsi="Arial Narrow"/>
          <w:sz w:val="24"/>
          <w:szCs w:val="24"/>
        </w:rPr>
        <w:t>Прешал</w:t>
      </w:r>
      <w:proofErr w:type="spellEnd"/>
      <w:r w:rsidRPr="00036AE2">
        <w:rPr>
          <w:rFonts w:ascii="Arial Narrow" w:hAnsi="Arial Narrow"/>
          <w:sz w:val="24"/>
          <w:szCs w:val="24"/>
        </w:rPr>
        <w:t xml:space="preserve"> се съгласява с генералния адвокат </w:t>
      </w:r>
      <w:proofErr w:type="spellStart"/>
      <w:r w:rsidRPr="00036AE2">
        <w:rPr>
          <w:rFonts w:ascii="Arial Narrow" w:hAnsi="Arial Narrow"/>
          <w:sz w:val="24"/>
          <w:szCs w:val="24"/>
        </w:rPr>
        <w:t>Бот</w:t>
      </w:r>
      <w:proofErr w:type="spellEnd"/>
      <w:r w:rsidRPr="00036AE2">
        <w:rPr>
          <w:rFonts w:ascii="Arial Narrow" w:hAnsi="Arial Narrow"/>
          <w:sz w:val="24"/>
          <w:szCs w:val="24"/>
        </w:rPr>
        <w:t>. Тя подкрепя твърдението, че една директива, манифестираща основен принцип, трябва да спомага за, а не да ограничава, „приложението и изпълнението на този принцип“.</w:t>
      </w:r>
      <w:r w:rsidRPr="00036AE2">
        <w:rPr>
          <w:rFonts w:ascii="Arial Narrow" w:hAnsi="Arial Narrow"/>
          <w:sz w:val="24"/>
          <w:szCs w:val="24"/>
          <w:vertAlign w:val="superscript"/>
        </w:rPr>
        <w:t>40</w:t>
      </w:r>
      <w:r w:rsidRPr="00036AE2">
        <w:rPr>
          <w:rFonts w:ascii="Arial Narrow" w:hAnsi="Arial Narrow"/>
          <w:sz w:val="24"/>
          <w:szCs w:val="24"/>
        </w:rPr>
        <w:t xml:space="preserve"> Съобразно с това, като санкция, наложена за нарушение от страна на държава-членка, вътрешноправните норми, противоречащи на директивата, трябва да бъдат игнорирани. С цел да се запази вертикалното и хоризонталното разпределение на правомощията, предвидено в Договора, тя отбелязва, че не само основният принцип трябва да бъде „оперативен“ – т.е. да съдържа стандарти, управляеми по съдебен ред, – но също така Съдът трябва да следва „много стриктно буквата на директивата, (…) оставащ почти напълно в обхвата на предвиденото от законодателя“. Тъкмо това е което Съдът направи в </w:t>
      </w:r>
      <w:proofErr w:type="spellStart"/>
      <w:r w:rsidRPr="00036AE2">
        <w:rPr>
          <w:rFonts w:ascii="Arial Narrow" w:hAnsi="Arial Narrow"/>
          <w:i/>
          <w:sz w:val="24"/>
          <w:szCs w:val="24"/>
          <w:lang w:val="en-US"/>
        </w:rPr>
        <w:t>Mangold</w:t>
      </w:r>
      <w:proofErr w:type="spellEnd"/>
      <w:r w:rsidRPr="00036AE2">
        <w:rPr>
          <w:rFonts w:ascii="Arial Narrow" w:hAnsi="Arial Narrow"/>
          <w:sz w:val="24"/>
          <w:szCs w:val="24"/>
          <w:lang w:val="ru-RU"/>
        </w:rPr>
        <w:t xml:space="preserve"> </w:t>
      </w:r>
      <w:r w:rsidRPr="00036AE2">
        <w:rPr>
          <w:rFonts w:ascii="Arial Narrow" w:hAnsi="Arial Narrow"/>
          <w:sz w:val="24"/>
          <w:szCs w:val="24"/>
        </w:rPr>
        <w:t xml:space="preserve">и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i/>
          <w:sz w:val="24"/>
          <w:szCs w:val="24"/>
        </w:rPr>
        <w:t>.</w:t>
      </w:r>
      <w:r w:rsidRPr="00036AE2">
        <w:rPr>
          <w:rFonts w:ascii="Arial Narrow" w:hAnsi="Arial Narrow"/>
          <w:sz w:val="24"/>
          <w:szCs w:val="24"/>
        </w:rPr>
        <w:t xml:space="preserve"> На първо място принципът на равенство „често като такъв е оперативен“.</w:t>
      </w:r>
      <w:r w:rsidRPr="00036AE2">
        <w:rPr>
          <w:rFonts w:ascii="Arial Narrow" w:hAnsi="Arial Narrow"/>
          <w:sz w:val="24"/>
          <w:szCs w:val="24"/>
          <w:vertAlign w:val="superscript"/>
        </w:rPr>
        <w:t xml:space="preserve">41 </w:t>
      </w:r>
      <w:r w:rsidRPr="00036AE2">
        <w:rPr>
          <w:rFonts w:ascii="Arial Narrow" w:hAnsi="Arial Narrow"/>
          <w:sz w:val="24"/>
          <w:szCs w:val="24"/>
        </w:rPr>
        <w:t>На второ място Съдът на ЕС се придържа към условията в директивата.</w:t>
      </w:r>
      <w:r w:rsidRPr="00036AE2">
        <w:rPr>
          <w:rFonts w:ascii="Arial Narrow" w:hAnsi="Arial Narrow"/>
          <w:sz w:val="24"/>
          <w:szCs w:val="24"/>
          <w:vertAlign w:val="superscript"/>
        </w:rPr>
        <w:t>42</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Като допълнение, както твърдя и другаде</w:t>
      </w:r>
      <w:r w:rsidRPr="00036AE2">
        <w:rPr>
          <w:rFonts w:ascii="Arial Narrow" w:hAnsi="Arial Narrow"/>
          <w:sz w:val="24"/>
          <w:szCs w:val="24"/>
          <w:vertAlign w:val="superscript"/>
        </w:rPr>
        <w:t>43</w:t>
      </w:r>
      <w:r w:rsidRPr="00036AE2">
        <w:rPr>
          <w:rFonts w:ascii="Arial Narrow" w:hAnsi="Arial Narrow"/>
          <w:sz w:val="24"/>
          <w:szCs w:val="24"/>
        </w:rPr>
        <w:t xml:space="preserve">, тези възражения изглежда, че пренебрегват факта, че принципите на Правото на ЕС са видени като такива с „конституционно правно положение“. Следвайки тази нормативна йерархия, дали основен принцип произвежда хоризонтален директен ефект е решение, което се взема на основание първичното право.  Такова решение не попада нито в компетенцията на Съюзния законодател, нито в тази на държавите-членки. Би било необходимо изменение в Договора, за да може политическият процес да се намеси тук. Делата </w:t>
      </w:r>
      <w:proofErr w:type="spellStart"/>
      <w:r w:rsidRPr="00036AE2">
        <w:rPr>
          <w:rFonts w:ascii="Arial Narrow" w:hAnsi="Arial Narrow"/>
          <w:i/>
          <w:sz w:val="24"/>
          <w:szCs w:val="24"/>
          <w:lang w:val="en-US"/>
        </w:rPr>
        <w:t>Defrenne</w:t>
      </w:r>
      <w:proofErr w:type="spellEnd"/>
      <w:r w:rsidRPr="00036AE2">
        <w:rPr>
          <w:rFonts w:ascii="Arial Narrow" w:hAnsi="Arial Narrow"/>
          <w:sz w:val="24"/>
          <w:szCs w:val="24"/>
          <w:vertAlign w:val="superscript"/>
        </w:rPr>
        <w:t>44</w:t>
      </w:r>
      <w:r w:rsidRPr="00036AE2">
        <w:rPr>
          <w:rFonts w:ascii="Arial Narrow" w:hAnsi="Arial Narrow"/>
          <w:sz w:val="24"/>
          <w:szCs w:val="24"/>
          <w:lang w:val="ru-RU"/>
        </w:rPr>
        <w:t xml:space="preserve"> </w:t>
      </w:r>
      <w:r w:rsidRPr="00036AE2">
        <w:rPr>
          <w:rFonts w:ascii="Arial Narrow" w:hAnsi="Arial Narrow"/>
          <w:sz w:val="24"/>
          <w:szCs w:val="24"/>
        </w:rPr>
        <w:t xml:space="preserve">и </w:t>
      </w:r>
      <w:proofErr w:type="spellStart"/>
      <w:r w:rsidRPr="00036AE2">
        <w:rPr>
          <w:rFonts w:ascii="Arial Narrow" w:hAnsi="Arial Narrow"/>
          <w:i/>
          <w:sz w:val="24"/>
          <w:szCs w:val="24"/>
          <w:lang w:val="en-US"/>
        </w:rPr>
        <w:t>Angonese</w:t>
      </w:r>
      <w:proofErr w:type="spellEnd"/>
      <w:r w:rsidRPr="00036AE2">
        <w:rPr>
          <w:rFonts w:ascii="Arial Narrow" w:hAnsi="Arial Narrow"/>
          <w:sz w:val="24"/>
          <w:szCs w:val="24"/>
          <w:vertAlign w:val="superscript"/>
        </w:rPr>
        <w:t>45</w:t>
      </w:r>
      <w:r w:rsidRPr="00036AE2">
        <w:rPr>
          <w:rFonts w:ascii="Arial Narrow" w:hAnsi="Arial Narrow"/>
          <w:sz w:val="24"/>
          <w:szCs w:val="24"/>
          <w:lang w:val="ru-RU"/>
        </w:rPr>
        <w:t xml:space="preserve"> </w:t>
      </w:r>
      <w:r w:rsidRPr="00036AE2">
        <w:rPr>
          <w:rFonts w:ascii="Arial Narrow" w:hAnsi="Arial Narrow"/>
          <w:sz w:val="24"/>
          <w:szCs w:val="24"/>
        </w:rPr>
        <w:t xml:space="preserve">онагледяват тази теза.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По първото дело Съдът на ЕС постановява, че основният принцип на равно възнаграждение за еднакъв труд – обоснован в предишен чл. 141 ДЕО (сегашен чл. 157 ДФЕС) – може да произведе хоризонтален директен ефект. След подробно проучване на целта, същността и мястото на принципа на равно възнаграждение за равностоен труд в системата на Договора, Съдът потвърждава, че принципът е „задължителен по своята същност“, и съобразно с това е приложим за държавните органи и за физическите лица по един и същ начин.</w:t>
      </w:r>
      <w:r w:rsidRPr="00036AE2">
        <w:rPr>
          <w:rFonts w:ascii="Arial Narrow" w:hAnsi="Arial Narrow"/>
          <w:sz w:val="24"/>
          <w:szCs w:val="24"/>
          <w:vertAlign w:val="superscript"/>
        </w:rPr>
        <w:t>46</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Контрастирайки на това, Директива 75/117</w:t>
      </w:r>
      <w:r w:rsidRPr="00036AE2">
        <w:rPr>
          <w:rFonts w:ascii="Arial Narrow" w:hAnsi="Arial Narrow"/>
          <w:sz w:val="24"/>
          <w:szCs w:val="24"/>
          <w:vertAlign w:val="superscript"/>
        </w:rPr>
        <w:t>47</w:t>
      </w:r>
      <w:r w:rsidRPr="00036AE2">
        <w:rPr>
          <w:rFonts w:ascii="Arial Narrow" w:hAnsi="Arial Narrow"/>
          <w:sz w:val="24"/>
          <w:szCs w:val="24"/>
        </w:rPr>
        <w:t>, целяща подобряване на правната защита на служители, потърпевши от неравно възнаграждение заради полова дискриминация, не просто е неподходяща да определи дали принципът на равно възнаграждение за равностоен труд би могъл да произведе хоризонтален директен ефект, но Съдът в действителност потвърждава, че по никакъв начин Директива 75/117 не би могла да редуцира ефективността и времевия обхват на дискутирания принцип.</w:t>
      </w:r>
      <w:r w:rsidRPr="00036AE2">
        <w:rPr>
          <w:rFonts w:ascii="Arial Narrow" w:hAnsi="Arial Narrow"/>
          <w:sz w:val="24"/>
          <w:szCs w:val="24"/>
          <w:vertAlign w:val="superscript"/>
        </w:rPr>
        <w:t>48</w:t>
      </w:r>
      <w:r w:rsidRPr="00036AE2">
        <w:rPr>
          <w:rFonts w:ascii="Arial Narrow" w:hAnsi="Arial Narrow"/>
          <w:sz w:val="24"/>
          <w:szCs w:val="24"/>
        </w:rPr>
        <w:t xml:space="preserve"> По подобен начин относно делото </w:t>
      </w:r>
      <w:proofErr w:type="spellStart"/>
      <w:r w:rsidRPr="00036AE2">
        <w:rPr>
          <w:rFonts w:ascii="Arial Narrow" w:hAnsi="Arial Narrow"/>
          <w:i/>
          <w:sz w:val="24"/>
          <w:szCs w:val="24"/>
          <w:lang w:val="en-US"/>
        </w:rPr>
        <w:t>Angonese</w:t>
      </w:r>
      <w:proofErr w:type="spellEnd"/>
      <w:r w:rsidRPr="00036AE2">
        <w:rPr>
          <w:rFonts w:ascii="Arial Narrow" w:hAnsi="Arial Narrow"/>
          <w:sz w:val="24"/>
          <w:szCs w:val="24"/>
        </w:rPr>
        <w:t xml:space="preserve">, Съдът на ЕС отбелязва, че Регламент </w:t>
      </w:r>
      <w:r w:rsidRPr="00036AE2">
        <w:rPr>
          <w:rFonts w:ascii="Arial Narrow" w:hAnsi="Arial Narrow"/>
          <w:sz w:val="24"/>
          <w:szCs w:val="24"/>
          <w:lang w:val="en-US"/>
        </w:rPr>
        <w:t>N</w:t>
      </w:r>
      <w:r w:rsidRPr="00036AE2">
        <w:rPr>
          <w:rFonts w:ascii="Arial Narrow" w:hAnsi="Arial Narrow"/>
          <w:sz w:val="24"/>
          <w:szCs w:val="24"/>
        </w:rPr>
        <w:t>1612/68</w:t>
      </w:r>
      <w:r w:rsidRPr="00036AE2">
        <w:rPr>
          <w:rFonts w:ascii="Arial Narrow" w:hAnsi="Arial Narrow"/>
          <w:sz w:val="24"/>
          <w:szCs w:val="24"/>
          <w:vertAlign w:val="superscript"/>
        </w:rPr>
        <w:t>49</w:t>
      </w:r>
      <w:r w:rsidRPr="00036AE2">
        <w:rPr>
          <w:rFonts w:ascii="Arial Narrow" w:hAnsi="Arial Narrow"/>
          <w:sz w:val="24"/>
          <w:szCs w:val="24"/>
        </w:rPr>
        <w:t xml:space="preserve">, който привежда в изпълнение принципа на свободно движение на работна сила така, както е предвиден той в предишен чл. 39 ДЕО (сегашен чл. 45 ДФЕС), не е приложим относно конкурс за длъжност, организиран от частна банка. Това обстоятелство не пречи на принципа на свободно движение на работна сила – специфично приложение на основния принцип на недискриминация въз основа на националност – да продуцира хоризонтален директен ефект. Съдът мотивира своето решение по делото </w:t>
      </w:r>
      <w:proofErr w:type="spellStart"/>
      <w:r w:rsidRPr="00036AE2">
        <w:rPr>
          <w:rFonts w:ascii="Arial Narrow" w:hAnsi="Arial Narrow"/>
          <w:i/>
          <w:sz w:val="24"/>
          <w:szCs w:val="24"/>
          <w:lang w:val="en-US"/>
        </w:rPr>
        <w:t>Defrenne</w:t>
      </w:r>
      <w:proofErr w:type="spellEnd"/>
      <w:r w:rsidRPr="00036AE2">
        <w:rPr>
          <w:rFonts w:ascii="Arial Narrow" w:hAnsi="Arial Narrow"/>
          <w:sz w:val="24"/>
          <w:szCs w:val="24"/>
          <w:lang w:val="ru-RU"/>
        </w:rPr>
        <w:t xml:space="preserve"> </w:t>
      </w:r>
      <w:r w:rsidRPr="00036AE2">
        <w:rPr>
          <w:rFonts w:ascii="Arial Narrow" w:hAnsi="Arial Narrow"/>
          <w:sz w:val="24"/>
          <w:szCs w:val="24"/>
        </w:rPr>
        <w:t xml:space="preserve">като такова, което би могло </w:t>
      </w:r>
      <w:r w:rsidRPr="00036AE2">
        <w:rPr>
          <w:rFonts w:ascii="Arial Narrow" w:hAnsi="Arial Narrow"/>
          <w:i/>
          <w:sz w:val="24"/>
          <w:szCs w:val="24"/>
          <w:lang w:val="en-US"/>
        </w:rPr>
        <w:t>a</w:t>
      </w:r>
      <w:r w:rsidRPr="00036AE2">
        <w:rPr>
          <w:rFonts w:ascii="Arial Narrow" w:hAnsi="Arial Narrow"/>
          <w:i/>
          <w:sz w:val="24"/>
          <w:szCs w:val="24"/>
          <w:lang w:val="ru-RU"/>
        </w:rPr>
        <w:t xml:space="preserve"> </w:t>
      </w:r>
      <w:r w:rsidRPr="00036AE2">
        <w:rPr>
          <w:rFonts w:ascii="Arial Narrow" w:hAnsi="Arial Narrow"/>
          <w:i/>
          <w:sz w:val="24"/>
          <w:szCs w:val="24"/>
          <w:lang w:val="en-US"/>
        </w:rPr>
        <w:t>fortiori</w:t>
      </w:r>
      <w:r w:rsidRPr="00036AE2">
        <w:rPr>
          <w:rFonts w:ascii="Arial Narrow" w:hAnsi="Arial Narrow"/>
          <w:sz w:val="24"/>
          <w:szCs w:val="24"/>
          <w:lang w:val="ru-RU"/>
        </w:rPr>
        <w:t xml:space="preserve"> </w:t>
      </w:r>
      <w:r w:rsidRPr="00036AE2">
        <w:rPr>
          <w:rFonts w:ascii="Arial Narrow" w:hAnsi="Arial Narrow"/>
          <w:sz w:val="24"/>
          <w:szCs w:val="24"/>
        </w:rPr>
        <w:t>да се прилага по отношение на свободното движение на работна сила, тъй като и двата принципа са „задължителни по своята същност“ и целят да се противопоставят на дискриминацията на пазара на труда, макар и базирани на различни основания.</w:t>
      </w:r>
      <w:r w:rsidRPr="00036AE2">
        <w:rPr>
          <w:rFonts w:ascii="Arial Narrow" w:hAnsi="Arial Narrow"/>
          <w:sz w:val="24"/>
          <w:szCs w:val="24"/>
          <w:vertAlign w:val="superscript"/>
        </w:rPr>
        <w:t>50</w:t>
      </w:r>
      <w:r w:rsidRPr="00036AE2">
        <w:rPr>
          <w:rFonts w:ascii="Arial Narrow" w:hAnsi="Arial Narrow"/>
          <w:sz w:val="24"/>
          <w:szCs w:val="24"/>
        </w:rPr>
        <w:t xml:space="preserve"> Би ли могло решението по делото </w:t>
      </w:r>
      <w:proofErr w:type="spellStart"/>
      <w:r w:rsidRPr="00036AE2">
        <w:rPr>
          <w:rFonts w:ascii="Arial Narrow" w:hAnsi="Arial Narrow"/>
          <w:i/>
          <w:sz w:val="24"/>
          <w:szCs w:val="24"/>
          <w:lang w:val="en-US"/>
        </w:rPr>
        <w:t>Defrenne</w:t>
      </w:r>
      <w:proofErr w:type="spellEnd"/>
      <w:r w:rsidRPr="00036AE2">
        <w:rPr>
          <w:rFonts w:ascii="Arial Narrow" w:hAnsi="Arial Narrow"/>
          <w:sz w:val="24"/>
          <w:szCs w:val="24"/>
        </w:rPr>
        <w:t xml:space="preserve">, в сферата на обществената законност, да подкрепи хоризонталното приложение на други „конституционни категории“ на принципа на недискриминация, които са „задължителни по своята същност“, но не са заложени в клауза на Договора? В тази връзка би могло да се твърди, че, за да се запази хоризонталното и вертикалното разпределение на правомощия, единствено тези основни принципи на Правото на ЕС, които са заложени в клауза на Договора, могат да произвеждат хоризонтален директен ефект. Казано по друг начин, при липса на клауза на Договора не би могло да се осъществи позоваване на решението по делото </w:t>
      </w:r>
      <w:proofErr w:type="spellStart"/>
      <w:r w:rsidRPr="00036AE2">
        <w:rPr>
          <w:rFonts w:ascii="Arial Narrow" w:hAnsi="Arial Narrow"/>
          <w:i/>
          <w:sz w:val="24"/>
          <w:szCs w:val="24"/>
          <w:lang w:val="en-US"/>
        </w:rPr>
        <w:t>Defrenne</w:t>
      </w:r>
      <w:proofErr w:type="spellEnd"/>
      <w:r w:rsidRPr="00036AE2">
        <w:rPr>
          <w:rFonts w:ascii="Arial Narrow" w:hAnsi="Arial Narrow"/>
          <w:i/>
          <w:sz w:val="24"/>
          <w:szCs w:val="24"/>
        </w:rPr>
        <w:t xml:space="preserve">. </w:t>
      </w:r>
      <w:r w:rsidRPr="00036AE2">
        <w:rPr>
          <w:rFonts w:ascii="Arial Narrow" w:hAnsi="Arial Narrow"/>
          <w:sz w:val="24"/>
          <w:szCs w:val="24"/>
        </w:rPr>
        <w:t xml:space="preserve">И въпреки това този аргумент не звучи напълно убедително. Един задълбочен прочит на делото </w:t>
      </w:r>
      <w:r w:rsidRPr="00036AE2">
        <w:rPr>
          <w:rFonts w:ascii="Arial Narrow" w:hAnsi="Arial Narrow"/>
          <w:sz w:val="24"/>
          <w:szCs w:val="24"/>
        </w:rPr>
        <w:lastRenderedPageBreak/>
        <w:t>разкрива, че формулировката на предишен чл. 141 ДЕО не изпълнява главна роля в обосновката на Съда на ЕС.</w:t>
      </w:r>
      <w:r w:rsidRPr="00036AE2">
        <w:rPr>
          <w:rFonts w:ascii="Arial Narrow" w:hAnsi="Arial Narrow"/>
          <w:sz w:val="24"/>
          <w:szCs w:val="24"/>
          <w:vertAlign w:val="superscript"/>
        </w:rPr>
        <w:t xml:space="preserve">51 </w:t>
      </w:r>
      <w:r w:rsidRPr="00036AE2">
        <w:rPr>
          <w:rFonts w:ascii="Arial Narrow" w:hAnsi="Arial Narrow"/>
          <w:sz w:val="24"/>
          <w:szCs w:val="24"/>
        </w:rPr>
        <w:t>Съдът не се фокусира върху това дали тази клауза на Договора е достатъчно прецизна, за да произведе директен ефект, предпочитайки вместо това да „идентифицира и изолира“ основния принцип на равно възнаграждение за равностоен труд.</w:t>
      </w:r>
      <w:r w:rsidRPr="00036AE2">
        <w:rPr>
          <w:rFonts w:ascii="Arial Narrow" w:hAnsi="Arial Narrow"/>
          <w:sz w:val="24"/>
          <w:szCs w:val="24"/>
          <w:vertAlign w:val="superscript"/>
        </w:rPr>
        <w:t>52</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Постановявайки решението си по делото </w:t>
      </w:r>
      <w:proofErr w:type="spellStart"/>
      <w:r w:rsidRPr="00036AE2">
        <w:rPr>
          <w:rFonts w:ascii="Arial Narrow" w:hAnsi="Arial Narrow"/>
          <w:i/>
          <w:sz w:val="24"/>
          <w:szCs w:val="24"/>
          <w:lang w:val="en-US"/>
        </w:rPr>
        <w:t>Defrenne</w:t>
      </w:r>
      <w:proofErr w:type="spellEnd"/>
      <w:r w:rsidRPr="00036AE2">
        <w:rPr>
          <w:rFonts w:ascii="Arial Narrow" w:hAnsi="Arial Narrow"/>
          <w:sz w:val="24"/>
          <w:szCs w:val="24"/>
        </w:rPr>
        <w:t>, Съдът на ЕС отчита преимущественото положение на Съюзния законодател и това на държавите-членки, признавайки на принципа на равно възнаграждение за равностоен труд хоризонтално приложение. В този смисъл Съдът очертава разлика между ситуациите, в които „чисто правният анализ“ се удовлетворява с това да разкрие съществуването на полова дискриминация, от комплицираните ситуации, в които такова съществуване не би могло да бъде установено, освен ако не бъдат предприети законодателни мерки.</w:t>
      </w:r>
      <w:r w:rsidRPr="00036AE2">
        <w:rPr>
          <w:rFonts w:ascii="Arial Narrow" w:hAnsi="Arial Narrow"/>
          <w:sz w:val="24"/>
          <w:szCs w:val="24"/>
          <w:vertAlign w:val="superscript"/>
        </w:rPr>
        <w:t>53</w:t>
      </w:r>
      <w:r w:rsidRPr="00036AE2">
        <w:rPr>
          <w:rFonts w:ascii="Arial Narrow" w:hAnsi="Arial Narrow"/>
          <w:sz w:val="24"/>
          <w:szCs w:val="24"/>
        </w:rPr>
        <w:t xml:space="preserve"> Докато по отношение на първия тип ситуации Съдът на ЕС е в състояние да поддържа тезата, че основният принцип на равно възнаграждение за равностоен труд произвежда хоризонтален директен ефект, то във втория тип ситуации той не е. Следователно, доколкото това разграничение е спазено, вертикалното и хоризонталното разпределение на правомощия не може да бъде смущавано от хоризонталното приложение на основен принцип. Това е така независимо дали основният принцип е обоснован в клауза на Договора.</w:t>
      </w:r>
    </w:p>
    <w:p w:rsidR="007B37A0"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Именно в този смисъл Съдът на ЕС потвърждава в делото</w:t>
      </w:r>
      <w:r w:rsidRPr="00036AE2">
        <w:rPr>
          <w:rFonts w:ascii="Arial Narrow" w:hAnsi="Arial Narrow"/>
          <w:i/>
          <w:sz w:val="24"/>
          <w:szCs w:val="24"/>
          <w:lang w:val="ru-RU"/>
        </w:rPr>
        <w:t xml:space="preserve"> </w:t>
      </w:r>
      <w:r w:rsidRPr="00036AE2">
        <w:rPr>
          <w:rFonts w:ascii="Arial Narrow" w:hAnsi="Arial Narrow"/>
          <w:i/>
          <w:sz w:val="24"/>
          <w:szCs w:val="24"/>
          <w:lang w:val="en-US"/>
        </w:rPr>
        <w:t>K</w:t>
      </w:r>
      <w:r w:rsidRPr="00036AE2">
        <w:rPr>
          <w:rFonts w:ascii="Arial Narrow" w:hAnsi="Arial Narrow"/>
          <w:i/>
          <w:sz w:val="24"/>
          <w:szCs w:val="24"/>
        </w:rPr>
        <w:t>ü</w:t>
      </w:r>
      <w:r w:rsidRPr="00036AE2">
        <w:rPr>
          <w:rFonts w:ascii="Arial Narrow" w:hAnsi="Arial Narrow"/>
          <w:i/>
          <w:sz w:val="24"/>
          <w:szCs w:val="24"/>
          <w:lang w:val="en-US"/>
        </w:rPr>
        <w:t>c</w:t>
      </w:r>
      <w:r w:rsidRPr="00036AE2">
        <w:rPr>
          <w:rFonts w:ascii="Arial Narrow" w:hAnsi="Arial Narrow"/>
          <w:i/>
          <w:sz w:val="24"/>
          <w:szCs w:val="24"/>
        </w:rPr>
        <w:t>ü</w:t>
      </w:r>
      <w:proofErr w:type="spellStart"/>
      <w:r w:rsidRPr="00036AE2">
        <w:rPr>
          <w:rFonts w:ascii="Arial Narrow" w:hAnsi="Arial Narrow"/>
          <w:i/>
          <w:sz w:val="24"/>
          <w:szCs w:val="24"/>
          <w:lang w:val="en-US"/>
        </w:rPr>
        <w:t>kdeveci</w:t>
      </w:r>
      <w:proofErr w:type="spellEnd"/>
      <w:r w:rsidRPr="00036AE2">
        <w:rPr>
          <w:rFonts w:ascii="Arial Narrow" w:hAnsi="Arial Narrow"/>
          <w:sz w:val="24"/>
          <w:szCs w:val="24"/>
        </w:rPr>
        <w:t>, че основният принцип на недискриминация въз основа на възраст, сега заложен в чл. 21 на Хартата, трябва да бъде прилаган хоризонтално в трудово правоотношение, намиращо се в обхвата на Директива 2000/78.</w:t>
      </w:r>
      <w:r w:rsidRPr="00036AE2">
        <w:rPr>
          <w:rFonts w:ascii="Arial Narrow" w:hAnsi="Arial Narrow"/>
          <w:sz w:val="24"/>
          <w:szCs w:val="24"/>
          <w:vertAlign w:val="superscript"/>
        </w:rPr>
        <w:t>54</w:t>
      </w:r>
    </w:p>
    <w:p w:rsidR="007B37A0"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p>
    <w:p w:rsidR="007B37A0" w:rsidRDefault="007B37A0" w:rsidP="00F955EB">
      <w:pPr>
        <w:pBdr>
          <w:bottom w:val="single" w:sz="6" w:space="1" w:color="auto"/>
        </w:pBdr>
        <w:spacing w:after="0" w:line="240" w:lineRule="auto"/>
        <w:ind w:firstLine="540"/>
        <w:jc w:val="center"/>
        <w:rPr>
          <w:rFonts w:ascii="Arial Narrow" w:hAnsi="Arial Narrow"/>
          <w:b/>
          <w:bCs/>
          <w:sz w:val="24"/>
          <w:szCs w:val="24"/>
        </w:rPr>
      </w:pPr>
    </w:p>
    <w:p w:rsidR="007B37A0" w:rsidRDefault="007B37A0" w:rsidP="00F955EB">
      <w:pPr>
        <w:pBdr>
          <w:bottom w:val="single" w:sz="6" w:space="1" w:color="auto"/>
        </w:pBdr>
        <w:spacing w:after="0" w:line="240" w:lineRule="auto"/>
        <w:ind w:firstLine="540"/>
        <w:jc w:val="center"/>
        <w:rPr>
          <w:rFonts w:ascii="Arial Narrow" w:hAnsi="Arial Narrow"/>
          <w:b/>
          <w:bCs/>
          <w:sz w:val="24"/>
          <w:szCs w:val="24"/>
        </w:rPr>
      </w:pPr>
      <w:r>
        <w:rPr>
          <w:rFonts w:ascii="Arial Narrow" w:hAnsi="Arial Narrow"/>
          <w:b/>
          <w:bCs/>
          <w:sz w:val="24"/>
          <w:szCs w:val="24"/>
        </w:rPr>
        <w:t>4</w:t>
      </w:r>
      <w:r w:rsidRPr="008D4B6E">
        <w:rPr>
          <w:rFonts w:ascii="Arial Narrow" w:hAnsi="Arial Narrow"/>
          <w:b/>
          <w:bCs/>
          <w:sz w:val="24"/>
          <w:szCs w:val="24"/>
          <w:lang w:val="ru-RU"/>
        </w:rPr>
        <w:t xml:space="preserve">. </w:t>
      </w:r>
      <w:proofErr w:type="spellStart"/>
      <w:r w:rsidRPr="008D4B6E">
        <w:rPr>
          <w:rFonts w:ascii="Arial Narrow" w:hAnsi="Arial Narrow"/>
          <w:b/>
          <w:bCs/>
          <w:i/>
          <w:sz w:val="24"/>
          <w:szCs w:val="24"/>
          <w:lang w:val="en-US"/>
        </w:rPr>
        <w:t>Bressol</w:t>
      </w:r>
      <w:proofErr w:type="spellEnd"/>
      <w:r w:rsidRPr="008D4B6E">
        <w:rPr>
          <w:rFonts w:ascii="Arial Narrow" w:hAnsi="Arial Narrow"/>
          <w:b/>
          <w:bCs/>
          <w:sz w:val="24"/>
          <w:szCs w:val="24"/>
          <w:lang w:val="ru-RU"/>
        </w:rPr>
        <w:t xml:space="preserve">: </w:t>
      </w:r>
      <w:r w:rsidRPr="008D4B6E">
        <w:rPr>
          <w:rFonts w:ascii="Arial Narrow" w:hAnsi="Arial Narrow"/>
          <w:b/>
          <w:bCs/>
          <w:sz w:val="24"/>
          <w:szCs w:val="24"/>
        </w:rPr>
        <w:t>принципът на равно третиране и европейското гражданство</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lang w:val="ru-RU"/>
        </w:rPr>
      </w:pPr>
      <w:r w:rsidRPr="00036AE2">
        <w:rPr>
          <w:rFonts w:ascii="Arial Narrow" w:hAnsi="Arial Narrow"/>
          <w:sz w:val="24"/>
          <w:szCs w:val="24"/>
        </w:rPr>
        <w:t xml:space="preserve">Всеки гражданин на Съюза има правото да не бъде дискриминиран въз основа на национална принадлежност във всички ситуации, попадащи „в обхвата на приложното поле на Договорите“. Такива положения са изразяващите се в упражняването на основните свободи, гарантирани от Договорите, както и отнасящите се до упражняване правото на гражданите да се преместват и да пребивават на територията на ЕС (виж чл. 21 ДФЕС </w:t>
      </w:r>
      <w:r w:rsidRPr="00036AE2">
        <w:rPr>
          <w:rFonts w:ascii="Arial Narrow" w:hAnsi="Arial Narrow"/>
          <w:sz w:val="24"/>
          <w:szCs w:val="24"/>
          <w:lang w:val="ru-RU"/>
        </w:rPr>
        <w:t>[</w:t>
      </w:r>
      <w:r w:rsidRPr="00036AE2">
        <w:rPr>
          <w:rFonts w:ascii="Arial Narrow" w:hAnsi="Arial Narrow"/>
          <w:sz w:val="24"/>
          <w:szCs w:val="24"/>
        </w:rPr>
        <w:t>предишен чл. 18 ДЕО</w:t>
      </w:r>
      <w:r w:rsidRPr="00036AE2">
        <w:rPr>
          <w:rFonts w:ascii="Arial Narrow" w:hAnsi="Arial Narrow"/>
          <w:sz w:val="24"/>
          <w:szCs w:val="24"/>
          <w:lang w:val="ru-RU"/>
        </w:rPr>
        <w:t>]</w:t>
      </w:r>
      <w:r w:rsidRPr="00036AE2">
        <w:rPr>
          <w:rFonts w:ascii="Arial Narrow" w:hAnsi="Arial Narrow"/>
          <w:sz w:val="24"/>
          <w:szCs w:val="24"/>
        </w:rPr>
        <w:t>).</w:t>
      </w:r>
      <w:r w:rsidRPr="00036AE2">
        <w:rPr>
          <w:rFonts w:ascii="Arial Narrow" w:hAnsi="Arial Narrow"/>
          <w:sz w:val="24"/>
          <w:szCs w:val="24"/>
          <w:vertAlign w:val="superscript"/>
        </w:rPr>
        <w:t>55</w:t>
      </w:r>
      <w:r w:rsidRPr="00036AE2">
        <w:rPr>
          <w:rFonts w:ascii="Arial Narrow" w:hAnsi="Arial Narrow"/>
          <w:sz w:val="24"/>
          <w:szCs w:val="24"/>
        </w:rPr>
        <w:t xml:space="preserve"> Съобразно с това, едно лице може да се позовава на клаузи на Договорите, ако той или тя, бидейки гражданин на държава-членка и следователно гражданин на ЕС, законно пребивава на територията на друга държава-членка.</w:t>
      </w:r>
      <w:r w:rsidRPr="00036AE2">
        <w:rPr>
          <w:rFonts w:ascii="Arial Narrow" w:hAnsi="Arial Narrow"/>
          <w:sz w:val="24"/>
          <w:szCs w:val="24"/>
          <w:vertAlign w:val="superscript"/>
        </w:rPr>
        <w:t>56</w:t>
      </w:r>
      <w:r w:rsidRPr="00036AE2">
        <w:rPr>
          <w:rFonts w:ascii="Arial Narrow" w:hAnsi="Arial Narrow"/>
          <w:sz w:val="24"/>
          <w:szCs w:val="24"/>
        </w:rPr>
        <w:t xml:space="preserve"> Чл. 18 ДФЕС допълва, че там където член на семейството на гражданин на Съюза се е възползвал от правото си на свободно придвижване (за разлика от самия гражданин), това довежда до неравно третиране.</w:t>
      </w:r>
      <w:r w:rsidRPr="00036AE2">
        <w:rPr>
          <w:rFonts w:ascii="Arial Narrow" w:hAnsi="Arial Narrow"/>
          <w:sz w:val="24"/>
          <w:szCs w:val="24"/>
          <w:vertAlign w:val="superscript"/>
        </w:rPr>
        <w:t>57</w:t>
      </w:r>
      <w:r w:rsidRPr="00036AE2">
        <w:rPr>
          <w:rFonts w:ascii="Arial Narrow" w:hAnsi="Arial Narrow"/>
          <w:sz w:val="24"/>
          <w:szCs w:val="24"/>
        </w:rPr>
        <w:t>Упражняването на основното право на свободно придвижване дава възможност на гражданите на Съюза да изискват равно третиране в широк пространствен диапазон.</w:t>
      </w:r>
      <w:r w:rsidRPr="00036AE2">
        <w:rPr>
          <w:rFonts w:ascii="Arial Narrow" w:hAnsi="Arial Narrow"/>
          <w:sz w:val="24"/>
          <w:szCs w:val="24"/>
          <w:vertAlign w:val="superscript"/>
        </w:rPr>
        <w:t>58</w:t>
      </w:r>
      <w:r w:rsidRPr="00036AE2">
        <w:rPr>
          <w:rFonts w:ascii="Arial Narrow" w:hAnsi="Arial Narrow"/>
          <w:sz w:val="24"/>
          <w:szCs w:val="24"/>
        </w:rPr>
        <w:t xml:space="preserve"> Така например Съдът на ЕС прилага чл. 18 ДФЕС по повод клаузите, регулиращи достъпа до образование. Следователно възниква противоречие с принципа на равно третиране относно това държава-членка да предостави свободен достъп до висше образование на постоянно пребиваващите в нея студенти, прилагайки същевременно принципа </w:t>
      </w:r>
      <w:proofErr w:type="spellStart"/>
      <w:r w:rsidRPr="00036AE2">
        <w:rPr>
          <w:rFonts w:ascii="Arial Narrow" w:hAnsi="Arial Narrow"/>
          <w:i/>
          <w:sz w:val="24"/>
          <w:szCs w:val="24"/>
          <w:lang w:val="en-US"/>
        </w:rPr>
        <w:t>numerus</w:t>
      </w:r>
      <w:proofErr w:type="spellEnd"/>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clausus</w:t>
      </w:r>
      <w:proofErr w:type="spellEnd"/>
      <w:r w:rsidRPr="00036AE2">
        <w:rPr>
          <w:rFonts w:ascii="Arial Narrow" w:hAnsi="Arial Narrow"/>
          <w:sz w:val="24"/>
          <w:szCs w:val="24"/>
        </w:rPr>
        <w:t xml:space="preserve"> за студенти, идващи от други държави-членки. Постановлението на Съда по делото </w:t>
      </w:r>
      <w:proofErr w:type="spellStart"/>
      <w:r w:rsidRPr="00036AE2">
        <w:rPr>
          <w:rFonts w:ascii="Arial Narrow" w:hAnsi="Arial Narrow"/>
          <w:i/>
          <w:sz w:val="24"/>
          <w:szCs w:val="24"/>
          <w:lang w:val="en-US"/>
        </w:rPr>
        <w:t>Bressol</w:t>
      </w:r>
      <w:proofErr w:type="spellEnd"/>
      <w:r w:rsidRPr="00036AE2">
        <w:rPr>
          <w:rFonts w:ascii="Arial Narrow" w:hAnsi="Arial Narrow"/>
          <w:i/>
          <w:sz w:val="24"/>
          <w:szCs w:val="24"/>
        </w:rPr>
        <w:t xml:space="preserve"> </w:t>
      </w:r>
      <w:r w:rsidRPr="00036AE2">
        <w:rPr>
          <w:rFonts w:ascii="Arial Narrow" w:hAnsi="Arial Narrow"/>
          <w:sz w:val="24"/>
          <w:szCs w:val="24"/>
        </w:rPr>
        <w:t>илюстрира този казус.</w:t>
      </w:r>
      <w:r w:rsidRPr="00036AE2">
        <w:rPr>
          <w:rFonts w:ascii="Arial Narrow" w:hAnsi="Arial Narrow"/>
          <w:sz w:val="24"/>
          <w:szCs w:val="24"/>
          <w:vertAlign w:val="superscript"/>
        </w:rPr>
        <w:t>59</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това дело Съдът е бил сезиран от Белгийския конституционен съд да изследва съвместимостта между декрета на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(„Декретът от 2006г.“) – регулиращ броя на студенти в определени програми през първите две години от висшето им образование – и клаузите в Договора, касаещи европейското гражданство. Системата на висшето образование на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е базирана на свободния достъп, т.е. не са предвидени приемни изпити. Въпреки това, в последните години френски студенти, провалили се на приемните изпити във Франция, са допускани до университетите на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Силно нарасналият брой на обучаващите се, по-специално в медицинските и </w:t>
      </w:r>
      <w:proofErr w:type="spellStart"/>
      <w:r w:rsidRPr="00036AE2">
        <w:rPr>
          <w:rFonts w:ascii="Arial Narrow" w:hAnsi="Arial Narrow"/>
          <w:sz w:val="24"/>
          <w:szCs w:val="24"/>
        </w:rPr>
        <w:t>парамедицинските</w:t>
      </w:r>
      <w:proofErr w:type="spellEnd"/>
      <w:r w:rsidRPr="00036AE2">
        <w:rPr>
          <w:rFonts w:ascii="Arial Narrow" w:hAnsi="Arial Narrow"/>
          <w:sz w:val="24"/>
          <w:szCs w:val="24"/>
        </w:rPr>
        <w:t xml:space="preserve"> направления, провокирал органите на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да изразят опасение, че, вземайки предвид бюджетния, човешкия и материалния ресурс, наличен за образователните институции, такъв наплив от студенти би застрашил качеството на обучение – и поради същността на разглежданите програми – общественото здраве. Във връзка с девет медицински и </w:t>
      </w:r>
      <w:proofErr w:type="spellStart"/>
      <w:r w:rsidRPr="00036AE2">
        <w:rPr>
          <w:rFonts w:ascii="Arial Narrow" w:hAnsi="Arial Narrow"/>
          <w:sz w:val="24"/>
          <w:szCs w:val="24"/>
        </w:rPr>
        <w:t>парамедицински</w:t>
      </w:r>
      <w:proofErr w:type="spellEnd"/>
      <w:r w:rsidRPr="00036AE2">
        <w:rPr>
          <w:rFonts w:ascii="Arial Narrow" w:hAnsi="Arial Narrow"/>
          <w:sz w:val="24"/>
          <w:szCs w:val="24"/>
        </w:rPr>
        <w:t xml:space="preserve"> програми,</w:t>
      </w:r>
      <w:r w:rsidRPr="00036AE2">
        <w:rPr>
          <w:rFonts w:ascii="Arial Narrow" w:hAnsi="Arial Narrow"/>
          <w:sz w:val="24"/>
          <w:szCs w:val="24"/>
          <w:vertAlign w:val="superscript"/>
        </w:rPr>
        <w:t>60</w:t>
      </w:r>
      <w:r w:rsidRPr="00036AE2">
        <w:rPr>
          <w:rFonts w:ascii="Arial Narrow" w:hAnsi="Arial Narrow"/>
          <w:sz w:val="24"/>
          <w:szCs w:val="24"/>
        </w:rPr>
        <w:t xml:space="preserve">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приема Декрета от 2006г., с който предвижда принципа </w:t>
      </w:r>
      <w:proofErr w:type="spellStart"/>
      <w:r w:rsidRPr="00036AE2">
        <w:rPr>
          <w:rFonts w:ascii="Arial Narrow" w:hAnsi="Arial Narrow"/>
          <w:i/>
          <w:sz w:val="24"/>
          <w:szCs w:val="24"/>
          <w:lang w:val="en-US"/>
        </w:rPr>
        <w:t>numerus</w:t>
      </w:r>
      <w:proofErr w:type="spellEnd"/>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clausus</w:t>
      </w:r>
      <w:proofErr w:type="spellEnd"/>
      <w:r w:rsidRPr="00036AE2">
        <w:rPr>
          <w:rFonts w:ascii="Arial Narrow" w:hAnsi="Arial Narrow"/>
          <w:sz w:val="24"/>
          <w:szCs w:val="24"/>
          <w:lang w:val="ru-RU"/>
        </w:rPr>
        <w:t xml:space="preserve"> </w:t>
      </w:r>
      <w:r w:rsidRPr="00036AE2">
        <w:rPr>
          <w:rFonts w:ascii="Arial Narrow" w:hAnsi="Arial Narrow"/>
          <w:sz w:val="24"/>
          <w:szCs w:val="24"/>
        </w:rPr>
        <w:t xml:space="preserve">за приемане на чуждестранни студенти, избрани чрез теглене на жребий, докато постоянно </w:t>
      </w:r>
      <w:r w:rsidRPr="00036AE2">
        <w:rPr>
          <w:rFonts w:ascii="Arial Narrow" w:hAnsi="Arial Narrow"/>
          <w:sz w:val="24"/>
          <w:szCs w:val="24"/>
        </w:rPr>
        <w:lastRenderedPageBreak/>
        <w:t>пребиваващите студенти продължават да се ползват от свободен достъп до оспорваните специалности. „По съществото си „</w:t>
      </w:r>
      <w:proofErr w:type="spellStart"/>
      <w:r w:rsidRPr="00036AE2">
        <w:rPr>
          <w:rFonts w:ascii="Arial Narrow" w:hAnsi="Arial Narrow"/>
          <w:sz w:val="24"/>
          <w:szCs w:val="24"/>
        </w:rPr>
        <w:t>резидентите</w:t>
      </w:r>
      <w:proofErr w:type="spellEnd"/>
      <w:r w:rsidRPr="00036AE2">
        <w:rPr>
          <w:rFonts w:ascii="Arial Narrow" w:hAnsi="Arial Narrow"/>
          <w:sz w:val="24"/>
          <w:szCs w:val="24"/>
        </w:rPr>
        <w:t xml:space="preserve">“ </w:t>
      </w:r>
      <w:r w:rsidRPr="00036AE2">
        <w:rPr>
          <w:rFonts w:ascii="Arial Narrow" w:hAnsi="Arial Narrow"/>
          <w:sz w:val="24"/>
          <w:szCs w:val="24"/>
          <w:lang w:val="ru-RU"/>
        </w:rPr>
        <w:t>[</w:t>
      </w:r>
      <w:r w:rsidRPr="00036AE2">
        <w:rPr>
          <w:rFonts w:ascii="Arial Narrow" w:hAnsi="Arial Narrow"/>
          <w:sz w:val="24"/>
          <w:szCs w:val="24"/>
        </w:rPr>
        <w:t>били</w:t>
      </w:r>
      <w:r w:rsidRPr="00036AE2">
        <w:rPr>
          <w:rFonts w:ascii="Arial Narrow" w:hAnsi="Arial Narrow"/>
          <w:sz w:val="24"/>
          <w:szCs w:val="24"/>
          <w:lang w:val="ru-RU"/>
        </w:rPr>
        <w:t>]</w:t>
      </w:r>
      <w:r w:rsidRPr="00036AE2">
        <w:rPr>
          <w:rFonts w:ascii="Arial Narrow" w:hAnsi="Arial Narrow"/>
          <w:sz w:val="24"/>
          <w:szCs w:val="24"/>
        </w:rPr>
        <w:t xml:space="preserve"> лица, които едновременно </w:t>
      </w:r>
      <w:r w:rsidRPr="00036AE2">
        <w:rPr>
          <w:rFonts w:ascii="Arial Narrow" w:hAnsi="Arial Narrow"/>
          <w:sz w:val="24"/>
          <w:szCs w:val="24"/>
          <w:lang w:val="ru-RU"/>
        </w:rPr>
        <w:t>[</w:t>
      </w:r>
      <w:r w:rsidRPr="00036AE2">
        <w:rPr>
          <w:rFonts w:ascii="Arial Narrow" w:hAnsi="Arial Narrow"/>
          <w:sz w:val="24"/>
          <w:szCs w:val="24"/>
        </w:rPr>
        <w:t>имали</w:t>
      </w:r>
      <w:r w:rsidRPr="00036AE2">
        <w:rPr>
          <w:rFonts w:ascii="Arial Narrow" w:hAnsi="Arial Narrow"/>
          <w:sz w:val="24"/>
          <w:szCs w:val="24"/>
          <w:lang w:val="ru-RU"/>
        </w:rPr>
        <w:t>]</w:t>
      </w:r>
      <w:r w:rsidRPr="00036AE2">
        <w:rPr>
          <w:rFonts w:ascii="Arial Narrow" w:hAnsi="Arial Narrow"/>
          <w:sz w:val="24"/>
          <w:szCs w:val="24"/>
        </w:rPr>
        <w:t xml:space="preserve"> основно местожителство в Белгия и право на постоянно местопребиваване в Белгия“.</w:t>
      </w:r>
      <w:r w:rsidRPr="00036AE2">
        <w:rPr>
          <w:rFonts w:ascii="Arial Narrow" w:hAnsi="Arial Narrow"/>
          <w:sz w:val="24"/>
          <w:szCs w:val="24"/>
          <w:vertAlign w:val="superscript"/>
        </w:rPr>
        <w:t>61</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Броят на чуждестранните студенти в тези курсове не би могъл да надвишава 30%-ния праг. Господин </w:t>
      </w:r>
      <w:proofErr w:type="spellStart"/>
      <w:r w:rsidRPr="00036AE2">
        <w:rPr>
          <w:rFonts w:ascii="Arial Narrow" w:hAnsi="Arial Narrow"/>
          <w:sz w:val="24"/>
          <w:szCs w:val="24"/>
        </w:rPr>
        <w:t>Бресол</w:t>
      </w:r>
      <w:proofErr w:type="spellEnd"/>
      <w:r w:rsidRPr="00036AE2">
        <w:rPr>
          <w:rFonts w:ascii="Arial Narrow" w:hAnsi="Arial Narrow"/>
          <w:sz w:val="24"/>
          <w:szCs w:val="24"/>
        </w:rPr>
        <w:t xml:space="preserve"> и други студенти, повечето от тях френски граждани, предявили иск пред Белгийския конституционен съд, оспорващ </w:t>
      </w:r>
      <w:proofErr w:type="spellStart"/>
      <w:r w:rsidRPr="00036AE2">
        <w:rPr>
          <w:rFonts w:ascii="Arial Narrow" w:hAnsi="Arial Narrow"/>
          <w:sz w:val="24"/>
          <w:szCs w:val="24"/>
        </w:rPr>
        <w:t>конституционността</w:t>
      </w:r>
      <w:proofErr w:type="spellEnd"/>
      <w:r w:rsidRPr="00036AE2">
        <w:rPr>
          <w:rFonts w:ascii="Arial Narrow" w:hAnsi="Arial Narrow"/>
          <w:sz w:val="24"/>
          <w:szCs w:val="24"/>
        </w:rPr>
        <w:t xml:space="preserve"> на Декрета от 2006г. Те представили като факт нарушаването на принципа на равенство чрез третирането на местни и чуждестранни студенти по различен начин без основателна причина.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 xml:space="preserve">Още в самото начало Съдът подчертава, че Правото на ЕС не накърнява вътрешното право на държавите-членки да организират своите образователни системи и професионална подготовка. Всяка държава-членка е свободна да избере система, базирана на свободен достъп, или такава, която да предвижда </w:t>
      </w:r>
      <w:proofErr w:type="spellStart"/>
      <w:r w:rsidRPr="00036AE2">
        <w:rPr>
          <w:rFonts w:ascii="Arial Narrow" w:hAnsi="Arial Narrow"/>
          <w:i/>
          <w:sz w:val="24"/>
          <w:szCs w:val="24"/>
          <w:lang w:val="en-US"/>
        </w:rPr>
        <w:t>numerus</w:t>
      </w:r>
      <w:proofErr w:type="spellEnd"/>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clausus</w:t>
      </w:r>
      <w:proofErr w:type="spellEnd"/>
      <w:r w:rsidRPr="00036AE2">
        <w:rPr>
          <w:rFonts w:ascii="Arial Narrow" w:hAnsi="Arial Narrow"/>
          <w:sz w:val="24"/>
          <w:szCs w:val="24"/>
          <w:lang w:val="ru-RU"/>
        </w:rPr>
        <w:t xml:space="preserve"> </w:t>
      </w:r>
      <w:r w:rsidRPr="00036AE2">
        <w:rPr>
          <w:rFonts w:ascii="Arial Narrow" w:hAnsi="Arial Narrow"/>
          <w:sz w:val="24"/>
          <w:szCs w:val="24"/>
        </w:rPr>
        <w:t>за студенти. Изискването е да отговаря на Правото на ЕС, по-специално на клаузите от Договора, касаещи европейското гражданство.</w:t>
      </w:r>
      <w:r w:rsidRPr="00036AE2">
        <w:rPr>
          <w:rFonts w:ascii="Arial Narrow" w:hAnsi="Arial Narrow"/>
          <w:sz w:val="24"/>
          <w:szCs w:val="24"/>
          <w:vertAlign w:val="superscript"/>
        </w:rPr>
        <w:t>62</w:t>
      </w:r>
      <w:r w:rsidRPr="00036AE2">
        <w:rPr>
          <w:rFonts w:ascii="Arial Narrow" w:hAnsi="Arial Narrow"/>
          <w:sz w:val="24"/>
          <w:szCs w:val="24"/>
        </w:rPr>
        <w:t xml:space="preserve"> В последващите си действия, Съдът проследява, че Декретът от 2006г. излага непребиваващите постоянно студенти в неизгодна позиция по отношение на местните студенти, доколкото само последните продължават да се ползват от свободен достъп до всяка една от деветте споменати по-горе медицински или </w:t>
      </w:r>
      <w:proofErr w:type="spellStart"/>
      <w:r w:rsidRPr="00036AE2">
        <w:rPr>
          <w:rFonts w:ascii="Arial Narrow" w:hAnsi="Arial Narrow"/>
          <w:sz w:val="24"/>
          <w:szCs w:val="24"/>
        </w:rPr>
        <w:t>парамедицински</w:t>
      </w:r>
      <w:proofErr w:type="spellEnd"/>
      <w:r w:rsidRPr="00036AE2">
        <w:rPr>
          <w:rFonts w:ascii="Arial Narrow" w:hAnsi="Arial Narrow"/>
          <w:sz w:val="24"/>
          <w:szCs w:val="24"/>
        </w:rPr>
        <w:t xml:space="preserve"> специалности. Тъй като условието за пребиваване е по-лесно изпълнимо за белгийски граждани, отколкото за студенти от други националности, Декретът от 2006г. създава различие в третирането, индиректно базирано на националност.</w:t>
      </w:r>
      <w:r w:rsidRPr="00036AE2">
        <w:rPr>
          <w:rFonts w:ascii="Arial Narrow" w:hAnsi="Arial Narrow"/>
          <w:sz w:val="24"/>
          <w:szCs w:val="24"/>
          <w:vertAlign w:val="superscript"/>
        </w:rPr>
        <w:t>63</w:t>
      </w:r>
    </w:p>
    <w:p w:rsidR="007B37A0"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По отношение на основателността на Декрета от 2006г., Белгийското правителство твърди, че той е целял да се противопостави на прекомерната тежест, предизвиквана от чуждестранните студенти, възникваща при финансирането на висшето им образование. Отбелязвайки, че финансирането на висшето образование не зависи от общия брой студенти, а се основава на системата на „запечатения плик“, Съдът на ЕС отхвърля обосновката.</w:t>
      </w:r>
      <w:r w:rsidRPr="00036AE2">
        <w:rPr>
          <w:rFonts w:ascii="Arial Narrow" w:hAnsi="Arial Narrow"/>
          <w:sz w:val="24"/>
          <w:szCs w:val="24"/>
          <w:vertAlign w:val="superscript"/>
        </w:rPr>
        <w:t>64</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допълнение, Белгийското правителство изхожда от презумпцията, че Декретът от 2006г. е целял да подсигури качеството и непрекъснатостта на медицинска и </w:t>
      </w:r>
      <w:proofErr w:type="spellStart"/>
      <w:r w:rsidRPr="00036AE2">
        <w:rPr>
          <w:rFonts w:ascii="Arial Narrow" w:hAnsi="Arial Narrow"/>
          <w:sz w:val="24"/>
          <w:szCs w:val="24"/>
        </w:rPr>
        <w:t>парамедицинска</w:t>
      </w:r>
      <w:proofErr w:type="spellEnd"/>
      <w:r w:rsidRPr="00036AE2">
        <w:rPr>
          <w:rFonts w:ascii="Arial Narrow" w:hAnsi="Arial Narrow"/>
          <w:sz w:val="24"/>
          <w:szCs w:val="24"/>
        </w:rPr>
        <w:t xml:space="preserve"> помощ във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и подкрепя твърдението, че големият брой чуждестранни студенти бил предпоставка за намаляване качеството на обучение в медицинските и </w:t>
      </w:r>
      <w:proofErr w:type="spellStart"/>
      <w:r w:rsidRPr="00036AE2">
        <w:rPr>
          <w:rFonts w:ascii="Arial Narrow" w:hAnsi="Arial Narrow"/>
          <w:sz w:val="24"/>
          <w:szCs w:val="24"/>
        </w:rPr>
        <w:t>парамедицинските</w:t>
      </w:r>
      <w:proofErr w:type="spellEnd"/>
      <w:r w:rsidRPr="00036AE2">
        <w:rPr>
          <w:rFonts w:ascii="Arial Narrow" w:hAnsi="Arial Narrow"/>
          <w:sz w:val="24"/>
          <w:szCs w:val="24"/>
        </w:rPr>
        <w:t xml:space="preserve"> специалности, които изискват значително количество часове за практическа подготовка. Аналогично, тези големи числа биха могли да произведат недостиг на квалифициран медицински персонал на територията, което би разклатило системата на обществено здраве във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вземайки предвид тенденцията, че, след завършване на своето обучение, чуждестранните студенти се завръщат в своите държави, за да упражняват професията там, докато броят на местните специалисти остава твърде малък в някои области.</w:t>
      </w:r>
      <w:r w:rsidRPr="00036AE2">
        <w:rPr>
          <w:rFonts w:ascii="Arial Narrow" w:hAnsi="Arial Narrow"/>
          <w:sz w:val="24"/>
          <w:szCs w:val="24"/>
          <w:vertAlign w:val="superscript"/>
        </w:rPr>
        <w:t>65</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Съдът на ЕС признава за основателни аргументите по повод на общественото здраве, изтъкнати от Белгийското правителство. Въпреки това той осигурява подробен алгоритъм за анализ, който сезираният съд трябва да проследи с цел да определи дали съществува истински риск относно закрилата на общественото здраве и следователно дали Декретът от 2006г. отговаря на Правото на ЕС.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При измерването на тези рискове, националният съд трябва да вземе под внимание „факта, че връзката между подготовката на бъдещите здравни специалисти и целта по поддържането на балансирано висококачествено медицинско обслужване, отворено за всички, е само индиректна, и </w:t>
      </w:r>
      <w:proofErr w:type="spellStart"/>
      <w:r w:rsidRPr="00036AE2">
        <w:rPr>
          <w:rFonts w:ascii="Arial Narrow" w:hAnsi="Arial Narrow"/>
          <w:sz w:val="24"/>
          <w:szCs w:val="24"/>
        </w:rPr>
        <w:t>казуалното</w:t>
      </w:r>
      <w:proofErr w:type="spellEnd"/>
      <w:r w:rsidRPr="00036AE2">
        <w:rPr>
          <w:rFonts w:ascii="Arial Narrow" w:hAnsi="Arial Narrow"/>
          <w:sz w:val="24"/>
          <w:szCs w:val="24"/>
        </w:rPr>
        <w:t xml:space="preserve"> взаимоотношение е не така безспорно установено, както в случая връзката между целта на общественото здраве и дейността на здравните специалисти, които вече присъстват на пазара“.</w:t>
      </w:r>
      <w:r w:rsidRPr="00036AE2">
        <w:rPr>
          <w:rFonts w:ascii="Arial Narrow" w:hAnsi="Arial Narrow"/>
          <w:sz w:val="24"/>
          <w:szCs w:val="24"/>
          <w:vertAlign w:val="superscript"/>
        </w:rPr>
        <w:t>66</w:t>
      </w:r>
      <w:r w:rsidRPr="00036AE2">
        <w:rPr>
          <w:rFonts w:ascii="Arial Narrow" w:hAnsi="Arial Narrow"/>
          <w:sz w:val="24"/>
          <w:szCs w:val="24"/>
        </w:rPr>
        <w:t xml:space="preserve"> На второ място, Съдът на ЕС отбелязва, че докато на заинтересованата държава-членка не се налага да изчаква рисковете относно закрилата на общественото здраве да се материализират, тя, въпреки това, трябва да покаже, че тези рискове обективно съществуват. Съдът също така твърди, че за всяка една от специалностите, изброени в Декрета от 2006г., предприетият анализ от страна на националния съд трябва да установи максималния брой студенти, които могат да бъдат подготвяни на ниво, съответстващо на желаните стандарти за качество на обучението, също както и броя на дипломираните, необходим, за да се осигури </w:t>
      </w:r>
      <w:r w:rsidRPr="00036AE2">
        <w:rPr>
          <w:rFonts w:ascii="Arial Narrow" w:hAnsi="Arial Narrow"/>
          <w:sz w:val="24"/>
          <w:szCs w:val="24"/>
        </w:rPr>
        <w:lastRenderedPageBreak/>
        <w:t>адекватно здравно-обществено обслужване. Определяйки тези числа, анализът не би трябвало да се фокусира върху едната или другата група студенти, а трябва да вземе предвид броя на чуждестранните студенти, които се прехвърлят да работят в друга държава-членка, различна от Белгия, и броя на здравните работници, които биха дошли да работят в Белгия.</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Колкото до пропорционалността на обжалвания акт, Съдът постановява, че националната юрисдикция трябва да потвърди дали системата </w:t>
      </w:r>
      <w:proofErr w:type="spellStart"/>
      <w:r w:rsidRPr="00036AE2">
        <w:rPr>
          <w:rFonts w:ascii="Arial Narrow" w:hAnsi="Arial Narrow"/>
          <w:i/>
          <w:sz w:val="24"/>
          <w:szCs w:val="24"/>
          <w:lang w:val="en-US"/>
        </w:rPr>
        <w:t>numerus</w:t>
      </w:r>
      <w:proofErr w:type="spellEnd"/>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clausus</w:t>
      </w:r>
      <w:proofErr w:type="spellEnd"/>
      <w:r w:rsidRPr="00036AE2">
        <w:rPr>
          <w:rFonts w:ascii="Arial Narrow" w:hAnsi="Arial Narrow"/>
          <w:sz w:val="24"/>
          <w:szCs w:val="24"/>
          <w:lang w:val="ru-RU"/>
        </w:rPr>
        <w:t>,</w:t>
      </w:r>
      <w:r w:rsidRPr="00036AE2">
        <w:rPr>
          <w:rFonts w:ascii="Arial Narrow" w:hAnsi="Arial Narrow"/>
          <w:i/>
          <w:sz w:val="24"/>
          <w:szCs w:val="24"/>
        </w:rPr>
        <w:t xml:space="preserve"> </w:t>
      </w:r>
      <w:proofErr w:type="spellStart"/>
      <w:r w:rsidRPr="00036AE2">
        <w:rPr>
          <w:rFonts w:ascii="Arial Narrow" w:hAnsi="Arial Narrow"/>
          <w:sz w:val="24"/>
          <w:szCs w:val="24"/>
        </w:rPr>
        <w:t>касаеща</w:t>
      </w:r>
      <w:proofErr w:type="spellEnd"/>
      <w:r w:rsidRPr="00036AE2">
        <w:rPr>
          <w:rFonts w:ascii="Arial Narrow" w:hAnsi="Arial Narrow"/>
          <w:sz w:val="24"/>
          <w:szCs w:val="24"/>
        </w:rPr>
        <w:t xml:space="preserve"> чуждестранните студенти, наистина би могла да доведе до увеличаване на броя на дипломираните, готови да обезпечат бъдещото наличие на здравно-обществено обслужване на територията на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Относно необходимостта от мярката, Съдът разпорежда, че за сезирания съд остава преценката дали е необходимо въвеждането на по-малко </w:t>
      </w:r>
      <w:proofErr w:type="spellStart"/>
      <w:r w:rsidRPr="00036AE2">
        <w:rPr>
          <w:rFonts w:ascii="Arial Narrow" w:hAnsi="Arial Narrow"/>
          <w:sz w:val="24"/>
          <w:szCs w:val="24"/>
        </w:rPr>
        <w:t>рестриктивни</w:t>
      </w:r>
      <w:proofErr w:type="spellEnd"/>
      <w:r w:rsidRPr="00036AE2">
        <w:rPr>
          <w:rFonts w:ascii="Arial Narrow" w:hAnsi="Arial Narrow"/>
          <w:sz w:val="24"/>
          <w:szCs w:val="24"/>
        </w:rPr>
        <w:t xml:space="preserve"> мерки, поощряващи студенти, обучаващи се във </w:t>
      </w:r>
      <w:proofErr w:type="spellStart"/>
      <w:r w:rsidRPr="00036AE2">
        <w:rPr>
          <w:rFonts w:ascii="Arial Narrow" w:hAnsi="Arial Narrow"/>
          <w:sz w:val="24"/>
          <w:szCs w:val="24"/>
        </w:rPr>
        <w:t>френскоговорящата</w:t>
      </w:r>
      <w:proofErr w:type="spellEnd"/>
      <w:r w:rsidRPr="00036AE2">
        <w:rPr>
          <w:rFonts w:ascii="Arial Narrow" w:hAnsi="Arial Narrow"/>
          <w:sz w:val="24"/>
          <w:szCs w:val="24"/>
        </w:rPr>
        <w:t xml:space="preserve"> общност, да се установят там. Също така Съдът на ЕС заставя националния съд да се произнесе по въпроса дали системата на подбор на чуждестранни студенти (основана повече на шанс, отколкото на заслуга) е потребна за постигане на преследваните цели.</w:t>
      </w:r>
      <w:r w:rsidRPr="00036AE2">
        <w:rPr>
          <w:rFonts w:ascii="Arial Narrow" w:hAnsi="Arial Narrow"/>
          <w:sz w:val="24"/>
          <w:szCs w:val="24"/>
          <w:vertAlign w:val="superscript"/>
        </w:rPr>
        <w:t>67</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i/>
          <w:sz w:val="24"/>
          <w:szCs w:val="24"/>
        </w:rPr>
      </w:pPr>
    </w:p>
    <w:p w:rsidR="007B37A0" w:rsidRPr="00F955EB" w:rsidRDefault="007B37A0" w:rsidP="00036AE2">
      <w:pPr>
        <w:pBdr>
          <w:bottom w:val="single" w:sz="6" w:space="1" w:color="auto"/>
        </w:pBdr>
        <w:spacing w:after="0" w:line="240" w:lineRule="auto"/>
        <w:ind w:firstLine="540"/>
        <w:jc w:val="center"/>
        <w:rPr>
          <w:rFonts w:ascii="Arial Narrow" w:hAnsi="Arial Narrow"/>
          <w:b/>
          <w:bCs/>
          <w:sz w:val="24"/>
          <w:szCs w:val="24"/>
        </w:rPr>
      </w:pPr>
      <w:r>
        <w:rPr>
          <w:rFonts w:ascii="Arial Narrow" w:hAnsi="Arial Narrow"/>
          <w:b/>
          <w:bCs/>
          <w:i/>
          <w:sz w:val="24"/>
          <w:szCs w:val="24"/>
        </w:rPr>
        <w:t>5</w:t>
      </w:r>
      <w:r w:rsidRPr="00F955EB">
        <w:rPr>
          <w:rFonts w:ascii="Arial Narrow" w:hAnsi="Arial Narrow"/>
          <w:b/>
          <w:bCs/>
          <w:i/>
          <w:sz w:val="24"/>
          <w:szCs w:val="24"/>
        </w:rPr>
        <w:t xml:space="preserve">. </w:t>
      </w:r>
      <w:proofErr w:type="spellStart"/>
      <w:r w:rsidRPr="00F955EB">
        <w:rPr>
          <w:rFonts w:ascii="Arial Narrow" w:hAnsi="Arial Narrow"/>
          <w:b/>
          <w:bCs/>
          <w:i/>
          <w:sz w:val="24"/>
          <w:szCs w:val="24"/>
          <w:lang w:val="en-US"/>
        </w:rPr>
        <w:t>Chatzi</w:t>
      </w:r>
      <w:proofErr w:type="spellEnd"/>
      <w:r w:rsidRPr="00F955EB">
        <w:rPr>
          <w:rFonts w:ascii="Arial Narrow" w:hAnsi="Arial Narrow"/>
          <w:b/>
          <w:bCs/>
          <w:i/>
          <w:sz w:val="24"/>
          <w:szCs w:val="24"/>
          <w:lang w:val="ru-RU"/>
        </w:rPr>
        <w:t xml:space="preserve">, </w:t>
      </w:r>
      <w:proofErr w:type="spellStart"/>
      <w:r w:rsidRPr="00F955EB">
        <w:rPr>
          <w:rFonts w:ascii="Arial Narrow" w:hAnsi="Arial Narrow"/>
          <w:b/>
          <w:bCs/>
          <w:i/>
          <w:sz w:val="24"/>
          <w:szCs w:val="24"/>
          <w:lang w:val="en-US"/>
        </w:rPr>
        <w:t>Audiolux</w:t>
      </w:r>
      <w:proofErr w:type="spellEnd"/>
      <w:r w:rsidRPr="00F955EB">
        <w:rPr>
          <w:rFonts w:ascii="Arial Narrow" w:hAnsi="Arial Narrow"/>
          <w:b/>
          <w:bCs/>
          <w:sz w:val="24"/>
          <w:szCs w:val="24"/>
          <w:lang w:val="ru-RU"/>
        </w:rPr>
        <w:t xml:space="preserve"> </w:t>
      </w:r>
      <w:r w:rsidRPr="00F955EB">
        <w:rPr>
          <w:rFonts w:ascii="Arial Narrow" w:hAnsi="Arial Narrow"/>
          <w:b/>
          <w:bCs/>
          <w:sz w:val="24"/>
          <w:szCs w:val="24"/>
        </w:rPr>
        <w:t>и</w:t>
      </w:r>
      <w:r w:rsidRPr="00F955EB">
        <w:rPr>
          <w:rFonts w:ascii="Arial Narrow" w:hAnsi="Arial Narrow"/>
          <w:b/>
          <w:bCs/>
          <w:sz w:val="24"/>
          <w:szCs w:val="24"/>
          <w:lang w:val="ru-RU"/>
        </w:rPr>
        <w:t xml:space="preserve"> </w:t>
      </w:r>
      <w:r w:rsidRPr="00F955EB">
        <w:rPr>
          <w:rFonts w:ascii="Arial Narrow" w:hAnsi="Arial Narrow"/>
          <w:b/>
          <w:bCs/>
          <w:i/>
          <w:sz w:val="24"/>
          <w:szCs w:val="24"/>
          <w:lang w:val="en-US"/>
        </w:rPr>
        <w:t>NCC</w:t>
      </w:r>
      <w:r w:rsidRPr="00F955EB">
        <w:rPr>
          <w:rFonts w:ascii="Arial Narrow" w:hAnsi="Arial Narrow"/>
          <w:b/>
          <w:bCs/>
          <w:i/>
          <w:sz w:val="24"/>
          <w:szCs w:val="24"/>
          <w:lang w:val="ru-RU"/>
        </w:rPr>
        <w:t xml:space="preserve"> </w:t>
      </w:r>
      <w:r w:rsidRPr="00F955EB">
        <w:rPr>
          <w:rFonts w:ascii="Arial Narrow" w:hAnsi="Arial Narrow"/>
          <w:b/>
          <w:bCs/>
          <w:i/>
          <w:sz w:val="24"/>
          <w:szCs w:val="24"/>
          <w:lang w:val="en-US"/>
        </w:rPr>
        <w:t>Construction</w:t>
      </w:r>
      <w:r w:rsidRPr="00F955EB">
        <w:rPr>
          <w:rFonts w:ascii="Arial Narrow" w:hAnsi="Arial Narrow"/>
          <w:b/>
          <w:bCs/>
          <w:i/>
          <w:sz w:val="24"/>
          <w:szCs w:val="24"/>
          <w:lang w:val="ru-RU"/>
        </w:rPr>
        <w:t xml:space="preserve"> </w:t>
      </w:r>
      <w:proofErr w:type="spellStart"/>
      <w:r w:rsidRPr="00F955EB">
        <w:rPr>
          <w:rFonts w:ascii="Arial Narrow" w:hAnsi="Arial Narrow"/>
          <w:b/>
          <w:bCs/>
          <w:i/>
          <w:sz w:val="24"/>
          <w:szCs w:val="24"/>
          <w:lang w:val="en-US"/>
        </w:rPr>
        <w:t>Danmark</w:t>
      </w:r>
      <w:proofErr w:type="spellEnd"/>
      <w:r w:rsidRPr="00F955EB">
        <w:rPr>
          <w:rFonts w:ascii="Arial Narrow" w:hAnsi="Arial Narrow"/>
          <w:b/>
          <w:bCs/>
          <w:sz w:val="24"/>
          <w:szCs w:val="24"/>
          <w:lang w:val="ru-RU"/>
        </w:rPr>
        <w:t>:</w:t>
      </w:r>
      <w:r w:rsidRPr="00F955EB">
        <w:rPr>
          <w:rFonts w:ascii="Arial Narrow" w:hAnsi="Arial Narrow"/>
          <w:b/>
          <w:bCs/>
          <w:sz w:val="24"/>
          <w:szCs w:val="24"/>
        </w:rPr>
        <w:t xml:space="preserve"> конституционно забранени основания за дискриминация и връзката със Съюзния законодател</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За определянето и изпълнението на своите политики и действия, ЕС трябва да цели противопоставяне на дискриминацията въз основа на пол, раса или етнически произход, религия или убеждения, увреждания, възраст или сексуална ориентация (чл. 10 ДФЕС).</w:t>
      </w:r>
      <w:r w:rsidRPr="00036AE2">
        <w:rPr>
          <w:rFonts w:ascii="Arial Narrow" w:hAnsi="Arial Narrow"/>
          <w:sz w:val="24"/>
          <w:szCs w:val="24"/>
          <w:vertAlign w:val="superscript"/>
        </w:rPr>
        <w:t>68</w:t>
      </w:r>
      <w:r w:rsidRPr="00036AE2">
        <w:rPr>
          <w:rFonts w:ascii="Arial Narrow" w:hAnsi="Arial Narrow"/>
          <w:sz w:val="24"/>
          <w:szCs w:val="24"/>
        </w:rPr>
        <w:t xml:space="preserve"> Чрез чл. 19 ДФЕС </w:t>
      </w:r>
      <w:r w:rsidRPr="00036AE2">
        <w:rPr>
          <w:rFonts w:ascii="Arial Narrow" w:hAnsi="Arial Narrow"/>
          <w:sz w:val="24"/>
          <w:szCs w:val="24"/>
          <w:lang w:val="ru-RU"/>
        </w:rPr>
        <w:t>[</w:t>
      </w:r>
      <w:r w:rsidRPr="00036AE2">
        <w:rPr>
          <w:rFonts w:ascii="Arial Narrow" w:hAnsi="Arial Narrow"/>
          <w:sz w:val="24"/>
          <w:szCs w:val="24"/>
        </w:rPr>
        <w:t>предишен чл. 13 ДЕО</w:t>
      </w:r>
      <w:r w:rsidRPr="00036AE2">
        <w:rPr>
          <w:rFonts w:ascii="Arial Narrow" w:hAnsi="Arial Narrow"/>
          <w:sz w:val="24"/>
          <w:szCs w:val="24"/>
          <w:lang w:val="ru-RU"/>
        </w:rPr>
        <w:t>]</w:t>
      </w:r>
      <w:r w:rsidRPr="00036AE2">
        <w:rPr>
          <w:rFonts w:ascii="Arial Narrow" w:hAnsi="Arial Narrow"/>
          <w:sz w:val="24"/>
          <w:szCs w:val="24"/>
        </w:rPr>
        <w:t>, въведен с Договора от Амстердам, Съветът, като действа с единодушие, следвайки специална законодателна процедура, и след одобрение от Европейския парламент, може да предприеме подходящи действия в границите на правомощията, предоставени на ЕС от Договорите, за да се противопостави на дискриминация, базирана на тези причини. Съобразно с това, Съветът е приел директиви, забраняващи дискриминация въз основа на раса или етнически произход,</w:t>
      </w:r>
      <w:r w:rsidRPr="00036AE2">
        <w:rPr>
          <w:rFonts w:ascii="Arial Narrow" w:hAnsi="Arial Narrow"/>
          <w:sz w:val="24"/>
          <w:szCs w:val="24"/>
          <w:vertAlign w:val="superscript"/>
        </w:rPr>
        <w:t xml:space="preserve">69 </w:t>
      </w:r>
      <w:r w:rsidRPr="00036AE2">
        <w:rPr>
          <w:rFonts w:ascii="Arial Narrow" w:hAnsi="Arial Narrow"/>
          <w:sz w:val="24"/>
          <w:szCs w:val="24"/>
        </w:rPr>
        <w:t>и обща рамка за равно третиране в областта на заетостта и професиите.</w:t>
      </w:r>
      <w:r w:rsidRPr="00036AE2">
        <w:rPr>
          <w:rFonts w:ascii="Arial Narrow" w:hAnsi="Arial Narrow"/>
          <w:sz w:val="24"/>
          <w:szCs w:val="24"/>
          <w:vertAlign w:val="superscript"/>
        </w:rPr>
        <w:t>70</w:t>
      </w:r>
      <w:r w:rsidRPr="00036AE2">
        <w:rPr>
          <w:rFonts w:ascii="Arial Narrow" w:hAnsi="Arial Narrow"/>
          <w:sz w:val="24"/>
          <w:szCs w:val="24"/>
        </w:rPr>
        <w:t xml:space="preserve"> Целта на втората директива е да се бори с всяка форма на дискриминация въз основа на религия или убеждения, увреждания, възраст или сексуална ориентация по отношение на заетостта и професиите.</w:t>
      </w:r>
      <w:r w:rsidRPr="00036AE2">
        <w:rPr>
          <w:rFonts w:ascii="Arial Narrow" w:hAnsi="Arial Narrow"/>
          <w:sz w:val="24"/>
          <w:szCs w:val="24"/>
          <w:vertAlign w:val="superscript"/>
        </w:rPr>
        <w:t>71</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vertAlign w:val="superscript"/>
        </w:rPr>
      </w:pPr>
      <w:r w:rsidRPr="00036AE2">
        <w:rPr>
          <w:rFonts w:ascii="Arial Narrow" w:hAnsi="Arial Narrow"/>
          <w:sz w:val="24"/>
          <w:szCs w:val="24"/>
        </w:rPr>
        <w:t>Договорът от Ница дава възможност на Европейския парламент и на Съвета да приемат по обикновената законодателна процедура основните принципи на мерките за стимулиране на Съюза, с изключение на хармонизиране на законовите и подзаконовите разпоредби на държавите-членки за подкрепа на действията по осъществяването на целите по недискриминация (чл. 19 (2) ДФЕС).</w:t>
      </w:r>
      <w:r w:rsidRPr="00036AE2">
        <w:rPr>
          <w:rFonts w:ascii="Arial Narrow" w:hAnsi="Arial Narrow"/>
          <w:sz w:val="24"/>
          <w:szCs w:val="24"/>
          <w:vertAlign w:val="superscript"/>
        </w:rPr>
        <w:t>72</w:t>
      </w:r>
      <w:r w:rsidRPr="00036AE2">
        <w:rPr>
          <w:rFonts w:ascii="Arial Narrow" w:hAnsi="Arial Narrow"/>
          <w:sz w:val="24"/>
          <w:szCs w:val="24"/>
        </w:rPr>
        <w:t xml:space="preserve"> Когато едно лице е засегнато от дискриминация вън от този контекст, на базата на уточнен (или друг) критерий, тя или той би могъл да предяви иск, базиран на основния принцип на равно третиране, освен, доколкото Правото на ЕС е засегнато, нейният или неговият казус няма връзка с Правото на ЕС.</w:t>
      </w:r>
      <w:r w:rsidRPr="00036AE2">
        <w:rPr>
          <w:rFonts w:ascii="Arial Narrow" w:hAnsi="Arial Narrow"/>
          <w:sz w:val="24"/>
          <w:szCs w:val="24"/>
          <w:vertAlign w:val="superscript"/>
        </w:rPr>
        <w:t>73</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делото </w:t>
      </w:r>
      <w:proofErr w:type="spellStart"/>
      <w:r w:rsidRPr="00036AE2">
        <w:rPr>
          <w:rFonts w:ascii="Arial Narrow" w:hAnsi="Arial Narrow"/>
          <w:i/>
          <w:sz w:val="24"/>
          <w:szCs w:val="24"/>
          <w:lang w:val="en-US"/>
        </w:rPr>
        <w:t>Chatzi</w:t>
      </w:r>
      <w:proofErr w:type="spellEnd"/>
      <w:r w:rsidRPr="00036AE2">
        <w:rPr>
          <w:rFonts w:ascii="Arial Narrow" w:hAnsi="Arial Narrow"/>
          <w:sz w:val="24"/>
          <w:szCs w:val="24"/>
          <w:vertAlign w:val="superscript"/>
        </w:rPr>
        <w:t>74</w:t>
      </w:r>
      <w:r w:rsidRPr="00036AE2">
        <w:rPr>
          <w:rFonts w:ascii="Arial Narrow" w:hAnsi="Arial Narrow"/>
          <w:i/>
          <w:sz w:val="24"/>
          <w:szCs w:val="24"/>
        </w:rPr>
        <w:t xml:space="preserve"> </w:t>
      </w:r>
      <w:r w:rsidRPr="00036AE2">
        <w:rPr>
          <w:rFonts w:ascii="Arial Narrow" w:hAnsi="Arial Narrow"/>
          <w:sz w:val="24"/>
          <w:szCs w:val="24"/>
        </w:rPr>
        <w:t>националният съд сезира Съда на ЕС с въпроса дали точка 2.1 от Рамковото споразумение за родителски отпуск</w:t>
      </w:r>
      <w:r w:rsidRPr="00036AE2">
        <w:rPr>
          <w:rFonts w:ascii="Arial Narrow" w:hAnsi="Arial Narrow"/>
          <w:sz w:val="24"/>
          <w:szCs w:val="24"/>
          <w:vertAlign w:val="superscript"/>
        </w:rPr>
        <w:t>75</w:t>
      </w:r>
      <w:r w:rsidRPr="00036AE2">
        <w:rPr>
          <w:rFonts w:ascii="Arial Narrow" w:hAnsi="Arial Narrow"/>
          <w:sz w:val="24"/>
          <w:szCs w:val="24"/>
        </w:rPr>
        <w:t xml:space="preserve"> би могла да бъде интерпретирана в смисъл, че раждането на близнаци дава право на периоди на родителски отпуск, равни на броя на родените деца, или трябва да бъде тълкувана в смисъл, че тяхното раждане дава право, както раждането на едно дете, на само един родителски отпуск. След внимателното изследване на формулировката и интерпретирането на точка 2.1 буквално, телеологично и контекстуално, Съдът заключава, че тази клауза не потвърждава правото на определен брой периоди на родителски отпуск, равен на броя на родените деца, като автоматично признавано в момента на раждането на близнаци.</w:t>
      </w:r>
      <w:r w:rsidRPr="00036AE2">
        <w:rPr>
          <w:rFonts w:ascii="Arial Narrow" w:hAnsi="Arial Narrow"/>
          <w:sz w:val="24"/>
          <w:szCs w:val="24"/>
          <w:vertAlign w:val="superscript"/>
        </w:rPr>
        <w:t>76</w:t>
      </w:r>
      <w:r w:rsidRPr="00036AE2">
        <w:rPr>
          <w:rFonts w:ascii="Arial Narrow" w:hAnsi="Arial Narrow"/>
          <w:sz w:val="24"/>
          <w:szCs w:val="24"/>
        </w:rPr>
        <w:t xml:space="preserve"> В последващите си твърдения, Съдът се произнася, че точка 2.1 трябва да бъде тълкувана в светлината на принципа на равно третиране. В тази връзка той отбелязва, че е трудно да се дефинира група от лица, с която родителите на близнаци да бъдат сравнявани. „Въпреки че не може да бъде отречено, че задачата по отглеждането на близнаци изисква по-големи усилия, и следователно не може да се сравнява с тази по отглеждането на едно дете, то също не би могъл да се игнорира фактът, че близнаците растат и се развиват в </w:t>
      </w:r>
      <w:proofErr w:type="spellStart"/>
      <w:r w:rsidRPr="00036AE2">
        <w:rPr>
          <w:rFonts w:ascii="Arial Narrow" w:hAnsi="Arial Narrow"/>
          <w:sz w:val="24"/>
          <w:szCs w:val="24"/>
        </w:rPr>
        <w:t>синергия</w:t>
      </w:r>
      <w:proofErr w:type="spellEnd"/>
      <w:r w:rsidRPr="00036AE2">
        <w:rPr>
          <w:rFonts w:ascii="Arial Narrow" w:hAnsi="Arial Narrow"/>
          <w:sz w:val="24"/>
          <w:szCs w:val="24"/>
        </w:rPr>
        <w:t>, и следователно мисията по отглеждането им не е необходимо подобна на тази по отглеждането на две деца в различни възрасти“.</w:t>
      </w:r>
      <w:r w:rsidRPr="00036AE2">
        <w:rPr>
          <w:rFonts w:ascii="Arial Narrow" w:hAnsi="Arial Narrow"/>
          <w:sz w:val="24"/>
          <w:szCs w:val="24"/>
          <w:vertAlign w:val="superscript"/>
        </w:rPr>
        <w:t>77</w:t>
      </w:r>
      <w:r w:rsidRPr="00036AE2">
        <w:rPr>
          <w:rFonts w:ascii="Arial Narrow" w:hAnsi="Arial Narrow"/>
          <w:sz w:val="24"/>
          <w:szCs w:val="24"/>
        </w:rPr>
        <w:t xml:space="preserve"> На базата на това Съдът постановява, че „прочетена в светлината на принципа на равно третиране, тази точка </w:t>
      </w:r>
      <w:r w:rsidRPr="00036AE2">
        <w:rPr>
          <w:rFonts w:ascii="Arial Narrow" w:hAnsi="Arial Narrow"/>
          <w:sz w:val="24"/>
          <w:szCs w:val="24"/>
        </w:rPr>
        <w:lastRenderedPageBreak/>
        <w:t>задължава националното законодателство да установи режим на родителски отпуск, който, в зависимост от ситуацията, съществуваща в заинтересованата държава-членка, осигурява на родителите на близнаци третиране, вземащо под внимание техните специфични нужди“.</w:t>
      </w:r>
      <w:r w:rsidRPr="00036AE2">
        <w:rPr>
          <w:rFonts w:ascii="Arial Narrow" w:hAnsi="Arial Narrow"/>
          <w:sz w:val="24"/>
          <w:szCs w:val="24"/>
          <w:vertAlign w:val="superscript"/>
        </w:rPr>
        <w:t>78</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допълнение, от делата </w:t>
      </w:r>
      <w:proofErr w:type="spellStart"/>
      <w:r w:rsidRPr="00036AE2">
        <w:rPr>
          <w:rFonts w:ascii="Arial Narrow" w:hAnsi="Arial Narrow"/>
          <w:i/>
          <w:sz w:val="24"/>
          <w:szCs w:val="24"/>
          <w:lang w:val="en-US"/>
        </w:rPr>
        <w:t>Audiolux</w:t>
      </w:r>
      <w:proofErr w:type="spellEnd"/>
      <w:r w:rsidRPr="00036AE2">
        <w:rPr>
          <w:rFonts w:ascii="Arial Narrow" w:hAnsi="Arial Narrow"/>
          <w:sz w:val="24"/>
          <w:szCs w:val="24"/>
          <w:vertAlign w:val="superscript"/>
          <w:lang w:val="ru-RU"/>
        </w:rPr>
        <w:t>79</w:t>
      </w:r>
      <w:r w:rsidRPr="00036AE2">
        <w:rPr>
          <w:rFonts w:ascii="Arial Narrow" w:hAnsi="Arial Narrow"/>
          <w:sz w:val="24"/>
          <w:szCs w:val="24"/>
        </w:rPr>
        <w:t xml:space="preserve"> и</w:t>
      </w:r>
      <w:r w:rsidRPr="00036AE2">
        <w:rPr>
          <w:rFonts w:ascii="Arial Narrow" w:hAnsi="Arial Narrow"/>
          <w:sz w:val="24"/>
          <w:szCs w:val="24"/>
          <w:lang w:val="ru-RU"/>
        </w:rPr>
        <w:t xml:space="preserve"> </w:t>
      </w:r>
      <w:r w:rsidRPr="00036AE2">
        <w:rPr>
          <w:rFonts w:ascii="Arial Narrow" w:hAnsi="Arial Narrow"/>
          <w:i/>
          <w:sz w:val="24"/>
          <w:szCs w:val="24"/>
          <w:lang w:val="en-US"/>
        </w:rPr>
        <w:t>NCC</w:t>
      </w:r>
      <w:r w:rsidRPr="00036AE2">
        <w:rPr>
          <w:rFonts w:ascii="Arial Narrow" w:hAnsi="Arial Narrow"/>
          <w:i/>
          <w:sz w:val="24"/>
          <w:szCs w:val="24"/>
          <w:lang w:val="ru-RU"/>
        </w:rPr>
        <w:t xml:space="preserve"> </w:t>
      </w:r>
      <w:r w:rsidRPr="00036AE2">
        <w:rPr>
          <w:rFonts w:ascii="Arial Narrow" w:hAnsi="Arial Narrow"/>
          <w:i/>
          <w:sz w:val="24"/>
          <w:szCs w:val="24"/>
          <w:lang w:val="en-US"/>
        </w:rPr>
        <w:t>Construction</w:t>
      </w:r>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Danmark</w:t>
      </w:r>
      <w:proofErr w:type="spellEnd"/>
      <w:r w:rsidRPr="00036AE2">
        <w:rPr>
          <w:rFonts w:ascii="Arial Narrow" w:hAnsi="Arial Narrow"/>
          <w:sz w:val="24"/>
          <w:szCs w:val="24"/>
          <w:vertAlign w:val="superscript"/>
          <w:lang w:val="ru-RU"/>
        </w:rPr>
        <w:t>80</w:t>
      </w:r>
      <w:r w:rsidRPr="00036AE2">
        <w:rPr>
          <w:rFonts w:ascii="Arial Narrow" w:hAnsi="Arial Narrow"/>
          <w:sz w:val="24"/>
          <w:szCs w:val="24"/>
        </w:rPr>
        <w:t xml:space="preserve"> следва, че на Съюзния законодател (или, където е подходящо, на националното законодателство) се вменява задължението за определяне на критерии, въз основа на които разграничение между отделните случаи не би могло да бъде законно обосновано. Както решението по делото </w:t>
      </w:r>
      <w:proofErr w:type="spellStart"/>
      <w:r w:rsidRPr="00036AE2">
        <w:rPr>
          <w:rFonts w:ascii="Arial Narrow" w:hAnsi="Arial Narrow"/>
          <w:i/>
          <w:sz w:val="24"/>
          <w:szCs w:val="24"/>
          <w:lang w:val="en-US"/>
        </w:rPr>
        <w:t>Mangold</w:t>
      </w:r>
      <w:proofErr w:type="spellEnd"/>
      <w:r w:rsidRPr="00036AE2">
        <w:rPr>
          <w:rFonts w:ascii="Arial Narrow" w:hAnsi="Arial Narrow"/>
          <w:sz w:val="24"/>
          <w:szCs w:val="24"/>
        </w:rPr>
        <w:t xml:space="preserve"> показва, на основния принцип на равенство би могло да става позоваване без допълнителна законодателна намеса във връзка с конституционно забранените форми на дискриминация (например въз основа на националност, пол, възраст). Диференциацията между конституционно забранените форми на дискриминация и други набори от обстоятелства, изискващи законодателна намеса, е положително развитие. От тук следва, че отвъд конституционно забранените форми на дискриминация, на основния принцип на равно третиране не би могло да има позоваване при замяната на законодателния подбор. В противен случай Съдът на ЕС би рискувал да бъде въвлечен в един политически спор въз основа на собствената си концепция за </w:t>
      </w:r>
      <w:proofErr w:type="spellStart"/>
      <w:r w:rsidRPr="00036AE2">
        <w:rPr>
          <w:rFonts w:ascii="Arial Narrow" w:hAnsi="Arial Narrow"/>
          <w:sz w:val="24"/>
          <w:szCs w:val="24"/>
        </w:rPr>
        <w:t>преразпределително</w:t>
      </w:r>
      <w:proofErr w:type="spellEnd"/>
      <w:r w:rsidRPr="00036AE2">
        <w:rPr>
          <w:rFonts w:ascii="Arial Narrow" w:hAnsi="Arial Narrow"/>
          <w:sz w:val="24"/>
          <w:szCs w:val="24"/>
        </w:rPr>
        <w:t xml:space="preserve"> правосъдие. Това не означава, обаче, че основният принцип на равенство се ограничава до защитата на конституционни положения. Както делото </w:t>
      </w:r>
      <w:r w:rsidRPr="00036AE2">
        <w:rPr>
          <w:rFonts w:ascii="Arial Narrow" w:hAnsi="Arial Narrow"/>
          <w:i/>
          <w:sz w:val="24"/>
          <w:szCs w:val="24"/>
          <w:lang w:val="en-US"/>
        </w:rPr>
        <w:t>NCC</w:t>
      </w:r>
      <w:r w:rsidRPr="00036AE2">
        <w:rPr>
          <w:rFonts w:ascii="Arial Narrow" w:hAnsi="Arial Narrow"/>
          <w:i/>
          <w:sz w:val="24"/>
          <w:szCs w:val="24"/>
          <w:lang w:val="ru-RU"/>
        </w:rPr>
        <w:t xml:space="preserve"> </w:t>
      </w:r>
      <w:r w:rsidRPr="00036AE2">
        <w:rPr>
          <w:rFonts w:ascii="Arial Narrow" w:hAnsi="Arial Narrow"/>
          <w:i/>
          <w:sz w:val="24"/>
          <w:szCs w:val="24"/>
          <w:lang w:val="en-US"/>
        </w:rPr>
        <w:t>Construction</w:t>
      </w:r>
      <w:r w:rsidRPr="00036AE2">
        <w:rPr>
          <w:rFonts w:ascii="Arial Narrow" w:hAnsi="Arial Narrow"/>
          <w:i/>
          <w:sz w:val="24"/>
          <w:szCs w:val="24"/>
          <w:lang w:val="ru-RU"/>
        </w:rPr>
        <w:t xml:space="preserve"> </w:t>
      </w:r>
      <w:proofErr w:type="spellStart"/>
      <w:r w:rsidRPr="00036AE2">
        <w:rPr>
          <w:rFonts w:ascii="Arial Narrow" w:hAnsi="Arial Narrow"/>
          <w:i/>
          <w:sz w:val="24"/>
          <w:szCs w:val="24"/>
          <w:lang w:val="en-US"/>
        </w:rPr>
        <w:t>Danmark</w:t>
      </w:r>
      <w:proofErr w:type="spellEnd"/>
      <w:r w:rsidRPr="00036AE2">
        <w:rPr>
          <w:rFonts w:ascii="Arial Narrow" w:hAnsi="Arial Narrow"/>
          <w:sz w:val="24"/>
          <w:szCs w:val="24"/>
          <w:lang w:val="ru-RU"/>
        </w:rPr>
        <w:t xml:space="preserve"> </w:t>
      </w:r>
      <w:r w:rsidRPr="00036AE2">
        <w:rPr>
          <w:rFonts w:ascii="Arial Narrow" w:hAnsi="Arial Narrow"/>
          <w:sz w:val="24"/>
          <w:szCs w:val="24"/>
        </w:rPr>
        <w:t xml:space="preserve">показва – когато законодателна преценка е включена, този принцип се намесва на по-късен етап: като </w:t>
      </w:r>
      <w:r w:rsidRPr="00036AE2">
        <w:rPr>
          <w:rFonts w:ascii="Arial Narrow" w:hAnsi="Arial Narrow"/>
          <w:i/>
          <w:sz w:val="24"/>
          <w:szCs w:val="24"/>
          <w:lang w:val="en-US"/>
        </w:rPr>
        <w:t>ex</w:t>
      </w:r>
      <w:r w:rsidRPr="00036AE2">
        <w:rPr>
          <w:rFonts w:ascii="Arial Narrow" w:hAnsi="Arial Narrow"/>
          <w:i/>
          <w:sz w:val="24"/>
          <w:szCs w:val="24"/>
          <w:lang w:val="ru-RU"/>
        </w:rPr>
        <w:t xml:space="preserve"> </w:t>
      </w:r>
      <w:r w:rsidRPr="00036AE2">
        <w:rPr>
          <w:rFonts w:ascii="Arial Narrow" w:hAnsi="Arial Narrow"/>
          <w:i/>
          <w:sz w:val="24"/>
          <w:szCs w:val="24"/>
          <w:lang w:val="en-US"/>
        </w:rPr>
        <w:t>post</w:t>
      </w:r>
      <w:r w:rsidRPr="00036AE2">
        <w:rPr>
          <w:rFonts w:ascii="Arial Narrow" w:hAnsi="Arial Narrow"/>
          <w:i/>
          <w:sz w:val="24"/>
          <w:szCs w:val="24"/>
          <w:lang w:val="ru-RU"/>
        </w:rPr>
        <w:t xml:space="preserve"> </w:t>
      </w:r>
      <w:r w:rsidRPr="00036AE2">
        <w:rPr>
          <w:rFonts w:ascii="Arial Narrow" w:hAnsi="Arial Narrow"/>
          <w:sz w:val="24"/>
          <w:szCs w:val="24"/>
        </w:rPr>
        <w:t>оценка на вътрешната съгласуваност на изборите, правени от законодателството.</w:t>
      </w:r>
      <w:r w:rsidRPr="00036AE2">
        <w:rPr>
          <w:rFonts w:ascii="Arial Narrow" w:hAnsi="Arial Narrow"/>
          <w:sz w:val="24"/>
          <w:szCs w:val="24"/>
          <w:vertAlign w:val="superscript"/>
        </w:rPr>
        <w:t>81</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p>
    <w:p w:rsidR="007B37A0" w:rsidRPr="00FA7671" w:rsidRDefault="007B37A0" w:rsidP="00036AE2">
      <w:pPr>
        <w:pBdr>
          <w:bottom w:val="single" w:sz="6" w:space="1" w:color="auto"/>
        </w:pBdr>
        <w:spacing w:after="0" w:line="240" w:lineRule="auto"/>
        <w:ind w:firstLine="540"/>
        <w:jc w:val="center"/>
        <w:rPr>
          <w:rFonts w:ascii="Arial Narrow" w:hAnsi="Arial Narrow"/>
          <w:b/>
          <w:bCs/>
          <w:sz w:val="24"/>
          <w:szCs w:val="24"/>
          <w:lang w:val="ru-RU"/>
        </w:rPr>
      </w:pPr>
      <w:r>
        <w:rPr>
          <w:rFonts w:ascii="Arial Narrow" w:hAnsi="Arial Narrow"/>
          <w:b/>
          <w:bCs/>
          <w:sz w:val="24"/>
          <w:szCs w:val="24"/>
        </w:rPr>
        <w:t>6</w:t>
      </w:r>
      <w:r w:rsidRPr="00FA7671">
        <w:rPr>
          <w:rFonts w:ascii="Arial Narrow" w:hAnsi="Arial Narrow"/>
          <w:b/>
          <w:bCs/>
          <w:sz w:val="24"/>
          <w:szCs w:val="24"/>
        </w:rPr>
        <w:t xml:space="preserve">. </w:t>
      </w:r>
      <w:proofErr w:type="spellStart"/>
      <w:r w:rsidRPr="00FA7671">
        <w:rPr>
          <w:rFonts w:ascii="Arial Narrow" w:hAnsi="Arial Narrow"/>
          <w:b/>
          <w:bCs/>
          <w:i/>
          <w:sz w:val="24"/>
          <w:szCs w:val="24"/>
          <w:lang w:val="en-US"/>
        </w:rPr>
        <w:t>Kamberaj</w:t>
      </w:r>
      <w:proofErr w:type="spellEnd"/>
      <w:r w:rsidRPr="00FA7671">
        <w:rPr>
          <w:rFonts w:ascii="Arial Narrow" w:hAnsi="Arial Narrow"/>
          <w:b/>
          <w:bCs/>
          <w:sz w:val="24"/>
          <w:szCs w:val="24"/>
          <w:lang w:val="ru-RU"/>
        </w:rPr>
        <w:t>:</w:t>
      </w:r>
      <w:r w:rsidRPr="00FA7671">
        <w:rPr>
          <w:rFonts w:ascii="Arial Narrow" w:hAnsi="Arial Narrow"/>
          <w:b/>
          <w:bCs/>
          <w:sz w:val="24"/>
          <w:szCs w:val="24"/>
        </w:rPr>
        <w:t xml:space="preserve"> принципът на равно третиране и гражданите на трети страни</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Съдът на ЕС пояснява, че чл. 18 ДФЕС не забранява различията в третирането между граждани на държави-членки и граждани на трети страни. По делото </w:t>
      </w:r>
      <w:proofErr w:type="spellStart"/>
      <w:r w:rsidRPr="00036AE2">
        <w:rPr>
          <w:rFonts w:ascii="Arial Narrow" w:hAnsi="Arial Narrow"/>
          <w:i/>
          <w:sz w:val="24"/>
          <w:szCs w:val="24"/>
          <w:lang w:val="en-US"/>
        </w:rPr>
        <w:t>Vatsouras</w:t>
      </w:r>
      <w:proofErr w:type="spellEnd"/>
      <w:r w:rsidRPr="00036AE2">
        <w:rPr>
          <w:rFonts w:ascii="Arial Narrow" w:hAnsi="Arial Narrow"/>
          <w:sz w:val="24"/>
          <w:szCs w:val="24"/>
          <w:lang w:val="ru-RU"/>
        </w:rPr>
        <w:t xml:space="preserve">, </w:t>
      </w:r>
      <w:r w:rsidRPr="00036AE2">
        <w:rPr>
          <w:rFonts w:ascii="Arial Narrow" w:hAnsi="Arial Narrow"/>
          <w:sz w:val="24"/>
          <w:szCs w:val="24"/>
        </w:rPr>
        <w:t>той постановява, че „</w:t>
      </w:r>
      <w:r w:rsidRPr="00036AE2">
        <w:rPr>
          <w:rFonts w:ascii="Arial Narrow" w:hAnsi="Arial Narrow"/>
          <w:sz w:val="24"/>
          <w:szCs w:val="24"/>
          <w:lang w:val="ru-RU"/>
        </w:rPr>
        <w:t>[</w:t>
      </w:r>
      <w:r w:rsidRPr="00036AE2">
        <w:rPr>
          <w:rFonts w:ascii="Arial Narrow" w:hAnsi="Arial Narrow"/>
          <w:sz w:val="24"/>
          <w:szCs w:val="24"/>
        </w:rPr>
        <w:t>чл. 18 ДФЕС</w:t>
      </w:r>
      <w:r w:rsidRPr="00036AE2">
        <w:rPr>
          <w:rFonts w:ascii="Arial Narrow" w:hAnsi="Arial Narrow"/>
          <w:sz w:val="24"/>
          <w:szCs w:val="24"/>
          <w:lang w:val="ru-RU"/>
        </w:rPr>
        <w:t>]</w:t>
      </w:r>
      <w:r w:rsidRPr="00036AE2">
        <w:rPr>
          <w:rFonts w:ascii="Arial Narrow" w:hAnsi="Arial Narrow"/>
          <w:sz w:val="24"/>
          <w:szCs w:val="24"/>
        </w:rPr>
        <w:t xml:space="preserve"> засяга положения, произлизащи от обхвата на Правото </w:t>
      </w:r>
      <w:r w:rsidRPr="00036AE2">
        <w:rPr>
          <w:rFonts w:ascii="Arial Narrow" w:hAnsi="Arial Narrow"/>
          <w:sz w:val="24"/>
          <w:szCs w:val="24"/>
          <w:lang w:val="ru-RU"/>
        </w:rPr>
        <w:t>[</w:t>
      </w:r>
      <w:r w:rsidRPr="00036AE2">
        <w:rPr>
          <w:rFonts w:ascii="Arial Narrow" w:hAnsi="Arial Narrow"/>
          <w:sz w:val="24"/>
          <w:szCs w:val="24"/>
        </w:rPr>
        <w:t>на ЕС</w:t>
      </w:r>
      <w:r w:rsidRPr="00036AE2">
        <w:rPr>
          <w:rFonts w:ascii="Arial Narrow" w:hAnsi="Arial Narrow"/>
          <w:sz w:val="24"/>
          <w:szCs w:val="24"/>
          <w:lang w:val="ru-RU"/>
        </w:rPr>
        <w:t>]</w:t>
      </w:r>
      <w:r w:rsidRPr="00036AE2">
        <w:rPr>
          <w:rFonts w:ascii="Arial Narrow" w:hAnsi="Arial Narrow"/>
          <w:sz w:val="24"/>
          <w:szCs w:val="24"/>
        </w:rPr>
        <w:t>, в които гражданин на една държава-членка страда от дискриминационно третиране във връзка с граждани на друга държава-членка единствено на базата на нейната/неговата националност, и не е предназначен да се прилага за случаите, при които възниква възможна разлика в третирането на граждани на държави-членки и такива на трети страни“.</w:t>
      </w:r>
      <w:r w:rsidRPr="00036AE2">
        <w:rPr>
          <w:rFonts w:ascii="Arial Narrow" w:hAnsi="Arial Narrow"/>
          <w:sz w:val="24"/>
          <w:szCs w:val="24"/>
          <w:vertAlign w:val="superscript"/>
        </w:rPr>
        <w:t>82</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Съюзният законодател отива отвъд вторичното законодателство, целящо да гарантира, че държавите-членки не третират дискриминационно дългосрочно пребиваващи граждани на трети страни.</w:t>
      </w:r>
      <w:r w:rsidRPr="00036AE2">
        <w:rPr>
          <w:rFonts w:ascii="Arial Narrow" w:hAnsi="Arial Narrow"/>
          <w:sz w:val="24"/>
          <w:szCs w:val="24"/>
          <w:vertAlign w:val="superscript"/>
        </w:rPr>
        <w:t xml:space="preserve">83 </w:t>
      </w:r>
      <w:r w:rsidRPr="00036AE2">
        <w:rPr>
          <w:rFonts w:ascii="Arial Narrow" w:hAnsi="Arial Narrow"/>
          <w:sz w:val="24"/>
          <w:szCs w:val="24"/>
        </w:rPr>
        <w:t>Чл. 11 на Директива 2003/109</w:t>
      </w:r>
      <w:r w:rsidRPr="00036AE2">
        <w:rPr>
          <w:rFonts w:ascii="Arial Narrow" w:hAnsi="Arial Narrow"/>
          <w:sz w:val="24"/>
          <w:szCs w:val="24"/>
          <w:vertAlign w:val="superscript"/>
        </w:rPr>
        <w:t>84</w:t>
      </w:r>
      <w:r w:rsidRPr="00036AE2">
        <w:rPr>
          <w:rFonts w:ascii="Arial Narrow" w:hAnsi="Arial Narrow"/>
          <w:sz w:val="24"/>
          <w:szCs w:val="24"/>
        </w:rPr>
        <w:t xml:space="preserve"> изброява областите, в които такова третиране трябва да бъде гарантирано на тези лица.</w:t>
      </w:r>
      <w:r w:rsidRPr="00036AE2">
        <w:rPr>
          <w:rFonts w:ascii="Arial Narrow" w:hAnsi="Arial Narrow"/>
          <w:sz w:val="24"/>
          <w:szCs w:val="24"/>
          <w:vertAlign w:val="superscript"/>
        </w:rPr>
        <w:t>85</w:t>
      </w:r>
      <w:r w:rsidRPr="00036AE2">
        <w:rPr>
          <w:rFonts w:ascii="Arial Narrow" w:hAnsi="Arial Narrow"/>
          <w:sz w:val="24"/>
          <w:szCs w:val="24"/>
        </w:rPr>
        <w:t xml:space="preserve"> Той също така описва и положенията, по отношение на които държавите-членки могат да въвеждат ограничения на принципа.</w:t>
      </w:r>
      <w:r w:rsidRPr="00036AE2">
        <w:rPr>
          <w:rFonts w:ascii="Arial Narrow" w:hAnsi="Arial Narrow"/>
          <w:sz w:val="24"/>
          <w:szCs w:val="24"/>
          <w:vertAlign w:val="superscript"/>
        </w:rPr>
        <w:t>86</w:t>
      </w:r>
      <w:r w:rsidRPr="00036AE2">
        <w:rPr>
          <w:rFonts w:ascii="Arial Narrow" w:hAnsi="Arial Narrow"/>
          <w:sz w:val="24"/>
          <w:szCs w:val="24"/>
        </w:rPr>
        <w:t xml:space="preserve"> В делото </w:t>
      </w:r>
      <w:proofErr w:type="spellStart"/>
      <w:r w:rsidRPr="00036AE2">
        <w:rPr>
          <w:rFonts w:ascii="Arial Narrow" w:hAnsi="Arial Narrow"/>
          <w:i/>
          <w:sz w:val="24"/>
          <w:szCs w:val="24"/>
          <w:lang w:val="en-US"/>
        </w:rPr>
        <w:t>Kamberaj</w:t>
      </w:r>
      <w:proofErr w:type="spellEnd"/>
      <w:r w:rsidRPr="00036AE2">
        <w:rPr>
          <w:rFonts w:ascii="Arial Narrow" w:hAnsi="Arial Narrow"/>
          <w:sz w:val="24"/>
          <w:szCs w:val="24"/>
          <w:vertAlign w:val="superscript"/>
        </w:rPr>
        <w:t>87</w:t>
      </w:r>
      <w:r w:rsidRPr="00036AE2">
        <w:rPr>
          <w:rFonts w:ascii="Arial Narrow" w:hAnsi="Arial Narrow"/>
          <w:sz w:val="24"/>
          <w:szCs w:val="24"/>
          <w:lang w:val="ru-RU"/>
        </w:rPr>
        <w:t xml:space="preserve"> </w:t>
      </w:r>
      <w:r w:rsidRPr="00036AE2">
        <w:rPr>
          <w:rFonts w:ascii="Arial Narrow" w:hAnsi="Arial Narrow"/>
          <w:sz w:val="24"/>
          <w:szCs w:val="24"/>
        </w:rPr>
        <w:t>Съдът е сезиран да тълкува принципа на равно третиране</w:t>
      </w:r>
      <w:r w:rsidRPr="00036AE2">
        <w:rPr>
          <w:rFonts w:ascii="Arial Narrow" w:hAnsi="Arial Narrow"/>
          <w:sz w:val="24"/>
          <w:szCs w:val="24"/>
          <w:lang w:val="ru-RU"/>
        </w:rPr>
        <w:t>,</w:t>
      </w:r>
      <w:r w:rsidRPr="00036AE2">
        <w:rPr>
          <w:rFonts w:ascii="Arial Narrow" w:hAnsi="Arial Narrow"/>
          <w:sz w:val="24"/>
          <w:szCs w:val="24"/>
        </w:rPr>
        <w:t xml:space="preserve"> така, както е изразен в Директивата.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това дело националният съд отправя запитване дали държава-членка би могла да дискриминира граждани на трети страни, които са дългосрочно пребиваващи на територията й, във връзка с надбавките за жилищни нужди (за конкретния случай, това се изразява в помощ по изплащането на наема за наематели с ниски доходи). Чл. 11 (1) (г) на Директива 2003/109 предвижда, че дългосрочно пребиваващите трябва да се ползват от равноправно третиране с гражданите на държавата, що се отнася до „социално осигуряване, социално подпомагане и социална закрила“. Клаузата, обаче, посочва, че тези понятия са „дефинирани от вътрешното право“. Тъй като Съюзният законодател изисква да се зачитат различията между държавите-членки, понятията „социално осигуряване“, „социална закрила“ и „социално подпомагане“ са определяни от вътрешното право – предмет, уреден в съответствие с Правото на ЕС. От тук следва, че националният съд трябва да прецени дали въпросът за жилищните облаги попада в периметъра на Директива 2003/109, вземайки предвид както целта на интеграцията, преследвана от тази директива, така и клаузите в Хартата. В допълнение, чл. 11 (4) на Директивата твърди, че „държавите-членки могат да ограничават равното третиране, </w:t>
      </w:r>
      <w:proofErr w:type="spellStart"/>
      <w:r w:rsidRPr="00036AE2">
        <w:rPr>
          <w:rFonts w:ascii="Arial Narrow" w:hAnsi="Arial Narrow"/>
          <w:sz w:val="24"/>
          <w:szCs w:val="24"/>
        </w:rPr>
        <w:t>касаещо</w:t>
      </w:r>
      <w:proofErr w:type="spellEnd"/>
      <w:r w:rsidRPr="00036AE2">
        <w:rPr>
          <w:rFonts w:ascii="Arial Narrow" w:hAnsi="Arial Narrow"/>
          <w:sz w:val="24"/>
          <w:szCs w:val="24"/>
        </w:rPr>
        <w:t xml:space="preserve"> социалното подпомагане и социалната закрила, до основните придобивки“. Логично възниква въпросът дали докато съответната държава-членка разглежда казуса по причисляването на надбавките за жилищни нужди към системата й за социално подпомагане, тези облаги биха могли да бъдат квалифицирани като „основни придобивки“. В този смисъл Съдът на ЕС постановява, че доколкото Директива 2003/109 не включва изчерпателен списък на основните придобивки, то не би могло да се </w:t>
      </w:r>
      <w:r w:rsidRPr="00036AE2">
        <w:rPr>
          <w:rFonts w:ascii="Arial Narrow" w:hAnsi="Arial Narrow"/>
          <w:sz w:val="24"/>
          <w:szCs w:val="24"/>
        </w:rPr>
        <w:lastRenderedPageBreak/>
        <w:t xml:space="preserve">отхвърли твърдението, че съответните надбавки за жилищни нужди попадат в тази концепция, по отношение на която принципът на равно третиране трябва да бъде приложен. Дефинирайки облагите, принадлежащи към сърцевината на социалното подпомагане, държавата-членка трябва да вземе под внимание целта, следвана от Директива 2003/109, а именно тази по интеграцията на граждани на трети страни, които пребивават законно и без прекъсване на територията й. Концепцията за основните ползи трябва също да бъде интерпретирана в съответствие с принципите, залегнали в Хартата, които разпознават и уважават правото на социално и жилищно осигуряване, по начин че да осигурят достойно съществуване на всяко лице, на което липсват достатъчно ресурси.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p>
    <w:p w:rsidR="007B37A0" w:rsidRPr="00FA7671" w:rsidRDefault="007B37A0" w:rsidP="00036AE2">
      <w:pPr>
        <w:pBdr>
          <w:bottom w:val="single" w:sz="6" w:space="1" w:color="auto"/>
        </w:pBdr>
        <w:spacing w:after="0" w:line="240" w:lineRule="auto"/>
        <w:ind w:firstLine="540"/>
        <w:jc w:val="center"/>
        <w:rPr>
          <w:rFonts w:ascii="Arial Narrow" w:hAnsi="Arial Narrow"/>
          <w:b/>
          <w:bCs/>
          <w:sz w:val="24"/>
          <w:szCs w:val="24"/>
          <w:lang w:val="ru-RU"/>
        </w:rPr>
      </w:pPr>
      <w:r w:rsidRPr="00FA7671">
        <w:rPr>
          <w:rFonts w:ascii="Arial Narrow" w:hAnsi="Arial Narrow"/>
          <w:b/>
          <w:bCs/>
          <w:sz w:val="24"/>
          <w:szCs w:val="24"/>
        </w:rPr>
        <w:t xml:space="preserve">7. Еволюция и бъдещи предизвикателства: </w:t>
      </w:r>
      <w:proofErr w:type="spellStart"/>
      <w:r w:rsidRPr="00FA7671">
        <w:rPr>
          <w:rFonts w:ascii="Arial Narrow" w:hAnsi="Arial Narrow"/>
          <w:b/>
          <w:bCs/>
          <w:sz w:val="24"/>
          <w:szCs w:val="24"/>
        </w:rPr>
        <w:t>еднополови</w:t>
      </w:r>
      <w:proofErr w:type="spellEnd"/>
      <w:r w:rsidRPr="00FA7671">
        <w:rPr>
          <w:rFonts w:ascii="Arial Narrow" w:hAnsi="Arial Narrow"/>
          <w:b/>
          <w:bCs/>
          <w:sz w:val="24"/>
          <w:szCs w:val="24"/>
        </w:rPr>
        <w:t xml:space="preserve"> бракове и </w:t>
      </w:r>
      <w:proofErr w:type="spellStart"/>
      <w:r w:rsidRPr="00FA7671">
        <w:rPr>
          <w:rFonts w:ascii="Arial Narrow" w:hAnsi="Arial Narrow"/>
          <w:b/>
          <w:bCs/>
          <w:sz w:val="24"/>
          <w:szCs w:val="24"/>
        </w:rPr>
        <w:t>биоетика</w:t>
      </w:r>
      <w:proofErr w:type="spellEnd"/>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Досега съдилищата на ЕС са отнасяли до държавите-членки, и, в зависимост от случая, до Съюзния законодател, въпроса дали женените двойки и </w:t>
      </w:r>
      <w:proofErr w:type="spellStart"/>
      <w:r w:rsidRPr="00036AE2">
        <w:rPr>
          <w:rFonts w:ascii="Arial Narrow" w:hAnsi="Arial Narrow"/>
          <w:sz w:val="24"/>
          <w:szCs w:val="24"/>
        </w:rPr>
        <w:t>еднополовите</w:t>
      </w:r>
      <w:proofErr w:type="spellEnd"/>
      <w:r w:rsidRPr="00036AE2">
        <w:rPr>
          <w:rFonts w:ascii="Arial Narrow" w:hAnsi="Arial Narrow"/>
          <w:sz w:val="24"/>
          <w:szCs w:val="24"/>
        </w:rPr>
        <w:t xml:space="preserve"> партньори трябва да бъдат третирани еднакво. Съдилищата се позовавали на правомощието на законодателя да взема обществени решения, свързани с измерването на такава дискриминация.</w:t>
      </w:r>
      <w:r w:rsidRPr="00036AE2">
        <w:rPr>
          <w:rFonts w:ascii="Arial Narrow" w:hAnsi="Arial Narrow"/>
          <w:sz w:val="24"/>
          <w:szCs w:val="24"/>
          <w:vertAlign w:val="superscript"/>
        </w:rPr>
        <w:t>88</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Съдът на ЕС не е приемал, че положението при официален брак е подобно на това при </w:t>
      </w:r>
      <w:proofErr w:type="spellStart"/>
      <w:r w:rsidRPr="00036AE2">
        <w:rPr>
          <w:rFonts w:ascii="Arial Narrow" w:hAnsi="Arial Narrow"/>
          <w:sz w:val="24"/>
          <w:szCs w:val="24"/>
        </w:rPr>
        <w:t>еднополовите</w:t>
      </w:r>
      <w:proofErr w:type="spellEnd"/>
      <w:r w:rsidRPr="00036AE2">
        <w:rPr>
          <w:rFonts w:ascii="Arial Narrow" w:hAnsi="Arial Narrow"/>
          <w:sz w:val="24"/>
          <w:szCs w:val="24"/>
        </w:rPr>
        <w:t xml:space="preserve"> партньорства или бракове, признати от някои държави-членки. Въпреки това, съдебната практика се разширява. Според най-скорошния Правилник за длъжностните лица, представителите на ЕС в небрачни отношения, признати от държавата-членка като участници в стабилно партньорство, макар тяхното право на законен брак да не е гарантирано, трябва да бъдат осигурени със същите облаги, както тези за брачните двойки.</w:t>
      </w:r>
      <w:r w:rsidRPr="00036AE2">
        <w:rPr>
          <w:rFonts w:ascii="Arial Narrow" w:hAnsi="Arial Narrow"/>
          <w:sz w:val="24"/>
          <w:szCs w:val="24"/>
          <w:vertAlign w:val="superscript"/>
        </w:rPr>
        <w:t>89</w:t>
      </w:r>
      <w:r w:rsidRPr="00036AE2">
        <w:rPr>
          <w:rFonts w:ascii="Arial Narrow" w:hAnsi="Arial Narrow"/>
          <w:sz w:val="24"/>
          <w:szCs w:val="24"/>
        </w:rPr>
        <w:t xml:space="preserve"> За някои облаги това се разпростира и до други форми на небрачни отношения, признати от държава-членка.</w:t>
      </w:r>
      <w:r w:rsidRPr="00036AE2">
        <w:rPr>
          <w:rFonts w:ascii="Arial Narrow" w:hAnsi="Arial Narrow"/>
          <w:sz w:val="24"/>
          <w:szCs w:val="24"/>
          <w:vertAlign w:val="superscript"/>
        </w:rPr>
        <w:t>90</w:t>
      </w:r>
      <w:r w:rsidRPr="00036AE2">
        <w:rPr>
          <w:rFonts w:ascii="Arial Narrow" w:hAnsi="Arial Narrow"/>
          <w:sz w:val="24"/>
          <w:szCs w:val="24"/>
        </w:rPr>
        <w:t xml:space="preserve"> Съвременното Съюзно законодателство дори допълва правото на европейските граждани и техните семейства да се преместват и да пребивават свободно на територията на друга държава-членка, включвайки в дефиницията за „член на семейство“ т.нар. „регистриран партньор“, ако законодателството на приемащата държава-членка третира регистрираното брачно партньорство като еквивалент на брака.</w:t>
      </w:r>
      <w:r w:rsidRPr="00036AE2">
        <w:rPr>
          <w:rFonts w:ascii="Arial Narrow" w:hAnsi="Arial Narrow"/>
          <w:sz w:val="24"/>
          <w:szCs w:val="24"/>
          <w:vertAlign w:val="superscript"/>
        </w:rPr>
        <w:t>91</w:t>
      </w:r>
      <w:r w:rsidRPr="00036AE2">
        <w:rPr>
          <w:rFonts w:ascii="Arial Narrow" w:hAnsi="Arial Narrow"/>
          <w:sz w:val="24"/>
          <w:szCs w:val="24"/>
          <w:lang w:val="ru-RU"/>
        </w:rPr>
        <w:t xml:space="preserve"> </w:t>
      </w:r>
      <w:r w:rsidRPr="00036AE2">
        <w:rPr>
          <w:rFonts w:ascii="Arial Narrow" w:hAnsi="Arial Narrow"/>
          <w:sz w:val="24"/>
          <w:szCs w:val="24"/>
        </w:rPr>
        <w:t>Противостоящо на принципа на равно третиране за институциите на ЕС е и това да се отпуска надбавка за децата на длъжностно лице, които са изгубили своя втори родител, в зависимост от факта дали двойката е била сключила брак.</w:t>
      </w:r>
      <w:r w:rsidRPr="00036AE2">
        <w:rPr>
          <w:rFonts w:ascii="Arial Narrow" w:hAnsi="Arial Narrow"/>
          <w:sz w:val="24"/>
          <w:szCs w:val="24"/>
          <w:vertAlign w:val="superscript"/>
        </w:rPr>
        <w:t>92</w:t>
      </w:r>
      <w:r w:rsidRPr="00036AE2">
        <w:rPr>
          <w:rFonts w:ascii="Arial Narrow" w:hAnsi="Arial Narrow"/>
          <w:sz w:val="24"/>
          <w:szCs w:val="24"/>
        </w:rPr>
        <w:t xml:space="preserve">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Съдът на ЕС постановява, че доколкото вътрешното право разглежда брачните двойки и </w:t>
      </w:r>
      <w:proofErr w:type="spellStart"/>
      <w:r w:rsidRPr="00036AE2">
        <w:rPr>
          <w:rFonts w:ascii="Arial Narrow" w:hAnsi="Arial Narrow"/>
          <w:sz w:val="24"/>
          <w:szCs w:val="24"/>
        </w:rPr>
        <w:t>еднополовите</w:t>
      </w:r>
      <w:proofErr w:type="spellEnd"/>
      <w:r w:rsidRPr="00036AE2">
        <w:rPr>
          <w:rFonts w:ascii="Arial Narrow" w:hAnsi="Arial Narrow"/>
          <w:sz w:val="24"/>
          <w:szCs w:val="24"/>
        </w:rPr>
        <w:t xml:space="preserve"> партньорства по еднакъв начин, то всяко едно дискриминационно третиране, свързано с извличане на облаги от работно правоотношение, е в противоречие с принципа за недискриминация въз основа на сексуална ориентация</w:t>
      </w:r>
      <w:r w:rsidRPr="00036AE2">
        <w:rPr>
          <w:rFonts w:ascii="Arial Narrow" w:hAnsi="Arial Narrow"/>
          <w:sz w:val="24"/>
          <w:szCs w:val="24"/>
          <w:lang w:val="ru-RU"/>
        </w:rPr>
        <w:t>,</w:t>
      </w:r>
      <w:r w:rsidRPr="00036AE2">
        <w:rPr>
          <w:rFonts w:ascii="Arial Narrow" w:hAnsi="Arial Narrow"/>
          <w:sz w:val="24"/>
          <w:szCs w:val="24"/>
        </w:rPr>
        <w:t xml:space="preserve"> така, както е заложен той в Директива 2000/78.</w:t>
      </w:r>
      <w:r w:rsidRPr="00036AE2">
        <w:rPr>
          <w:rFonts w:ascii="Arial Narrow" w:hAnsi="Arial Narrow"/>
          <w:sz w:val="24"/>
          <w:szCs w:val="24"/>
          <w:vertAlign w:val="superscript"/>
        </w:rPr>
        <w:t>93</w:t>
      </w:r>
      <w:r w:rsidRPr="00036AE2">
        <w:rPr>
          <w:rFonts w:ascii="Arial Narrow" w:hAnsi="Arial Narrow"/>
          <w:sz w:val="24"/>
          <w:szCs w:val="24"/>
        </w:rPr>
        <w:t xml:space="preserve"> Така например, ако двата вида обвързаности са разположени на едно ниво от националното право, вътрешна мярка, ограничаваща обезщетенията за преживелия партньор по силата на задължителна пенсионна схема, би накърнила принципа на равно третиране.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Приложението на принципа на равно третиране по въпроси, свързани с </w:t>
      </w:r>
      <w:proofErr w:type="spellStart"/>
      <w:r w:rsidRPr="00036AE2">
        <w:rPr>
          <w:rFonts w:ascii="Arial Narrow" w:hAnsi="Arial Narrow"/>
          <w:sz w:val="24"/>
          <w:szCs w:val="24"/>
        </w:rPr>
        <w:t>биоетиката</w:t>
      </w:r>
      <w:proofErr w:type="spellEnd"/>
      <w:r w:rsidRPr="00036AE2">
        <w:rPr>
          <w:rFonts w:ascii="Arial Narrow" w:hAnsi="Arial Narrow"/>
          <w:sz w:val="24"/>
          <w:szCs w:val="24"/>
        </w:rPr>
        <w:t xml:space="preserve">, би могло да представлява трудна задача за Съда на ЕС в близко бъдеще. Например по висящото дело </w:t>
      </w:r>
      <w:r w:rsidRPr="00036AE2">
        <w:rPr>
          <w:rFonts w:ascii="Arial Narrow" w:hAnsi="Arial Narrow"/>
          <w:i/>
          <w:sz w:val="24"/>
          <w:szCs w:val="24"/>
          <w:lang w:val="en-US"/>
        </w:rPr>
        <w:t>C</w:t>
      </w:r>
      <w:r w:rsidRPr="00036AE2">
        <w:rPr>
          <w:rFonts w:ascii="Arial Narrow" w:hAnsi="Arial Narrow"/>
          <w:i/>
          <w:sz w:val="24"/>
          <w:szCs w:val="24"/>
          <w:lang w:val="ru-RU"/>
        </w:rPr>
        <w:t>.</w:t>
      </w:r>
      <w:r w:rsidRPr="00036AE2">
        <w:rPr>
          <w:rFonts w:ascii="Arial Narrow" w:hAnsi="Arial Narrow"/>
          <w:i/>
          <w:sz w:val="24"/>
          <w:szCs w:val="24"/>
          <w:lang w:val="en-US"/>
        </w:rPr>
        <w:t>D</w:t>
      </w:r>
      <w:r w:rsidRPr="00036AE2">
        <w:rPr>
          <w:rFonts w:ascii="Arial Narrow" w:hAnsi="Arial Narrow"/>
          <w:sz w:val="24"/>
          <w:szCs w:val="24"/>
          <w:lang w:val="ru-RU"/>
        </w:rPr>
        <w:t>.,</w:t>
      </w:r>
      <w:r w:rsidRPr="00036AE2">
        <w:rPr>
          <w:rFonts w:ascii="Arial Narrow" w:hAnsi="Arial Narrow"/>
          <w:sz w:val="24"/>
          <w:szCs w:val="24"/>
          <w:vertAlign w:val="superscript"/>
          <w:lang w:val="ru-RU"/>
        </w:rPr>
        <w:t>94</w:t>
      </w:r>
      <w:r w:rsidRPr="00036AE2">
        <w:rPr>
          <w:rFonts w:ascii="Arial Narrow" w:hAnsi="Arial Narrow"/>
          <w:sz w:val="24"/>
          <w:szCs w:val="24"/>
          <w:lang w:val="ru-RU"/>
        </w:rPr>
        <w:t xml:space="preserve"> </w:t>
      </w:r>
      <w:r w:rsidRPr="00036AE2">
        <w:rPr>
          <w:rFonts w:ascii="Arial Narrow" w:hAnsi="Arial Narrow"/>
          <w:sz w:val="24"/>
          <w:szCs w:val="24"/>
        </w:rPr>
        <w:t xml:space="preserve">Съдът е призован да прецени дали Директива 92/85/ЕИО предоставя правото да получи отпуск поради майчинство жена, чието дете е родено вследствие на сключен договор за прилагане на </w:t>
      </w:r>
      <w:proofErr w:type="spellStart"/>
      <w:r w:rsidRPr="00036AE2">
        <w:rPr>
          <w:rFonts w:ascii="Arial Narrow" w:hAnsi="Arial Narrow"/>
          <w:sz w:val="24"/>
          <w:szCs w:val="24"/>
        </w:rPr>
        <w:t>сурогатно</w:t>
      </w:r>
      <w:proofErr w:type="spellEnd"/>
      <w:r w:rsidRPr="00036AE2">
        <w:rPr>
          <w:rFonts w:ascii="Arial Narrow" w:hAnsi="Arial Narrow"/>
          <w:sz w:val="24"/>
          <w:szCs w:val="24"/>
        </w:rPr>
        <w:t xml:space="preserve"> майчинство, или такова право се извежда от принципа на недискриминация въз основа на пол, заложен в (преработената) Директива за равно третиране 2006/54/ЕО. Подобен е казусът във висящото дело </w:t>
      </w:r>
      <w:r w:rsidRPr="00036AE2">
        <w:rPr>
          <w:rFonts w:ascii="Arial Narrow" w:hAnsi="Arial Narrow"/>
          <w:i/>
          <w:sz w:val="24"/>
          <w:szCs w:val="24"/>
          <w:lang w:val="en-US"/>
        </w:rPr>
        <w:t>Z</w:t>
      </w:r>
      <w:r w:rsidRPr="00036AE2">
        <w:rPr>
          <w:rFonts w:ascii="Arial Narrow" w:hAnsi="Arial Narrow"/>
          <w:i/>
          <w:sz w:val="24"/>
          <w:szCs w:val="24"/>
          <w:lang w:val="ru-RU"/>
        </w:rPr>
        <w:t xml:space="preserve"> </w:t>
      </w:r>
      <w:r w:rsidRPr="00036AE2">
        <w:rPr>
          <w:rFonts w:ascii="Arial Narrow" w:hAnsi="Arial Narrow"/>
          <w:i/>
          <w:sz w:val="24"/>
          <w:szCs w:val="24"/>
          <w:lang w:val="en-US"/>
        </w:rPr>
        <w:t>v</w:t>
      </w:r>
      <w:r w:rsidRPr="00036AE2">
        <w:rPr>
          <w:rFonts w:ascii="Arial Narrow" w:hAnsi="Arial Narrow"/>
          <w:i/>
          <w:sz w:val="24"/>
          <w:szCs w:val="24"/>
          <w:lang w:val="ru-RU"/>
        </w:rPr>
        <w:t xml:space="preserve"> </w:t>
      </w:r>
      <w:r w:rsidRPr="00036AE2">
        <w:rPr>
          <w:rFonts w:ascii="Arial Narrow" w:hAnsi="Arial Narrow"/>
          <w:i/>
          <w:sz w:val="24"/>
          <w:szCs w:val="24"/>
          <w:lang w:val="en-US"/>
        </w:rPr>
        <w:t>A</w:t>
      </w:r>
      <w:r w:rsidRPr="00036AE2">
        <w:rPr>
          <w:rFonts w:ascii="Arial Narrow" w:hAnsi="Arial Narrow"/>
          <w:sz w:val="24"/>
          <w:szCs w:val="24"/>
        </w:rPr>
        <w:t>,</w:t>
      </w:r>
      <w:r w:rsidRPr="00036AE2">
        <w:rPr>
          <w:rFonts w:ascii="Arial Narrow" w:hAnsi="Arial Narrow"/>
          <w:sz w:val="24"/>
          <w:szCs w:val="24"/>
          <w:vertAlign w:val="superscript"/>
          <w:lang w:val="ru-RU"/>
        </w:rPr>
        <w:t>95</w:t>
      </w:r>
      <w:r w:rsidRPr="00036AE2">
        <w:rPr>
          <w:rFonts w:ascii="Arial Narrow" w:hAnsi="Arial Narrow"/>
          <w:sz w:val="24"/>
          <w:szCs w:val="24"/>
          <w:vertAlign w:val="superscript"/>
        </w:rPr>
        <w:t xml:space="preserve"> </w:t>
      </w:r>
      <w:r w:rsidRPr="00036AE2">
        <w:rPr>
          <w:rFonts w:ascii="Arial Narrow" w:hAnsi="Arial Narrow"/>
          <w:sz w:val="24"/>
          <w:szCs w:val="24"/>
        </w:rPr>
        <w:t xml:space="preserve">в което националният съд отправя запитване дали Директива 2006/54/ЕО би могла да бъде тълкувана в смисъл, че възниква дискриминация въз основа на пол когато на жена, чието генетично дете е родено вследствие на сключен договор за прилагане на </w:t>
      </w:r>
      <w:proofErr w:type="spellStart"/>
      <w:r w:rsidRPr="00036AE2">
        <w:rPr>
          <w:rFonts w:ascii="Arial Narrow" w:hAnsi="Arial Narrow"/>
          <w:sz w:val="24"/>
          <w:szCs w:val="24"/>
        </w:rPr>
        <w:t>сурогатно</w:t>
      </w:r>
      <w:proofErr w:type="spellEnd"/>
      <w:r w:rsidRPr="00036AE2">
        <w:rPr>
          <w:rFonts w:ascii="Arial Narrow" w:hAnsi="Arial Narrow"/>
          <w:sz w:val="24"/>
          <w:szCs w:val="24"/>
        </w:rPr>
        <w:t xml:space="preserve"> майчинство, и която носи отговорност за грижата за това дете от раждането му, е отказан платен отпуск, еквивалентен на отпуск поради майчинство, и/или отпуск поради осиновяване. Съдът на ЕС е сезиран и с въпроса дали Директива 2000/78/ЕО би могла да бъде интерпретирана в смисъл, че се проявява дискриминационно третиране въз основа на увреждане когато на жена, която страда от инвалидност, ограничаваща възможността й да роди, чието генетично дете е родено вследствие на сключен договор за прилагане на </w:t>
      </w:r>
      <w:proofErr w:type="spellStart"/>
      <w:r w:rsidRPr="00036AE2">
        <w:rPr>
          <w:rFonts w:ascii="Arial Narrow" w:hAnsi="Arial Narrow"/>
          <w:sz w:val="24"/>
          <w:szCs w:val="24"/>
        </w:rPr>
        <w:t>сурогатно</w:t>
      </w:r>
      <w:proofErr w:type="spellEnd"/>
      <w:r w:rsidRPr="00036AE2">
        <w:rPr>
          <w:rFonts w:ascii="Arial Narrow" w:hAnsi="Arial Narrow"/>
          <w:sz w:val="24"/>
          <w:szCs w:val="24"/>
        </w:rPr>
        <w:t xml:space="preserve"> майчинство, и която е отговорна за грижите за </w:t>
      </w:r>
      <w:r w:rsidRPr="00036AE2">
        <w:rPr>
          <w:rFonts w:ascii="Arial Narrow" w:hAnsi="Arial Narrow"/>
          <w:sz w:val="24"/>
          <w:szCs w:val="24"/>
        </w:rPr>
        <w:lastRenderedPageBreak/>
        <w:t xml:space="preserve">това дете от раждането му, е отказан платен отпуск, еквивалентен на отпуск поради майчинство, и/или такъв поради осиновяване.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p>
    <w:p w:rsidR="007B37A0" w:rsidRPr="00FA7671" w:rsidRDefault="007B37A0" w:rsidP="00036AE2">
      <w:pPr>
        <w:pBdr>
          <w:bottom w:val="single" w:sz="6" w:space="1" w:color="auto"/>
        </w:pBdr>
        <w:spacing w:after="0" w:line="240" w:lineRule="auto"/>
        <w:ind w:firstLine="540"/>
        <w:jc w:val="center"/>
        <w:rPr>
          <w:rFonts w:ascii="Arial Narrow" w:hAnsi="Arial Narrow"/>
          <w:b/>
          <w:bCs/>
          <w:sz w:val="24"/>
          <w:szCs w:val="24"/>
        </w:rPr>
      </w:pPr>
      <w:r w:rsidRPr="00FA7671">
        <w:rPr>
          <w:rFonts w:ascii="Arial Narrow" w:hAnsi="Arial Narrow"/>
          <w:b/>
          <w:bCs/>
          <w:sz w:val="24"/>
          <w:szCs w:val="24"/>
        </w:rPr>
        <w:t>Заключителни бележки</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 заключение, когато Съдът на ЕС е сезиран да тълкува (и, в уместен случай, да прилага) принципа на равно третиране, това представлява истинско предизвикателство. Първата стъпка пред него се изразява в установяване на подходяща база за сравнение, която невинаги е лесно </w:t>
      </w:r>
      <w:proofErr w:type="spellStart"/>
      <w:r w:rsidRPr="00036AE2">
        <w:rPr>
          <w:rFonts w:ascii="Arial Narrow" w:hAnsi="Arial Narrow"/>
          <w:sz w:val="24"/>
          <w:szCs w:val="24"/>
        </w:rPr>
        <w:t>определима</w:t>
      </w:r>
      <w:proofErr w:type="spellEnd"/>
      <w:r w:rsidRPr="00036AE2">
        <w:rPr>
          <w:rFonts w:ascii="Arial Narrow" w:hAnsi="Arial Narrow"/>
          <w:sz w:val="24"/>
          <w:szCs w:val="24"/>
        </w:rPr>
        <w:t xml:space="preserve">. Делата </w:t>
      </w:r>
      <w:proofErr w:type="spellStart"/>
      <w:r w:rsidRPr="00036AE2">
        <w:rPr>
          <w:rFonts w:ascii="Arial Narrow" w:hAnsi="Arial Narrow"/>
          <w:i/>
          <w:sz w:val="24"/>
          <w:szCs w:val="24"/>
          <w:lang w:val="en-US"/>
        </w:rPr>
        <w:t>Chatzi</w:t>
      </w:r>
      <w:proofErr w:type="spellEnd"/>
      <w:r w:rsidRPr="00036AE2">
        <w:rPr>
          <w:rFonts w:ascii="Arial Narrow" w:hAnsi="Arial Narrow"/>
          <w:sz w:val="24"/>
          <w:szCs w:val="24"/>
          <w:lang w:val="ru-RU"/>
        </w:rPr>
        <w:t xml:space="preserve">, </w:t>
      </w:r>
      <w:r w:rsidRPr="00036AE2">
        <w:rPr>
          <w:rFonts w:ascii="Arial Narrow" w:hAnsi="Arial Narrow"/>
          <w:i/>
          <w:sz w:val="24"/>
          <w:szCs w:val="24"/>
          <w:lang w:val="en-US"/>
        </w:rPr>
        <w:t>C</w:t>
      </w:r>
      <w:r w:rsidRPr="00036AE2">
        <w:rPr>
          <w:rFonts w:ascii="Arial Narrow" w:hAnsi="Arial Narrow"/>
          <w:i/>
          <w:sz w:val="24"/>
          <w:szCs w:val="24"/>
          <w:lang w:val="ru-RU"/>
        </w:rPr>
        <w:t>.</w:t>
      </w:r>
      <w:r w:rsidRPr="00036AE2">
        <w:rPr>
          <w:rFonts w:ascii="Arial Narrow" w:hAnsi="Arial Narrow"/>
          <w:i/>
          <w:sz w:val="24"/>
          <w:szCs w:val="24"/>
          <w:lang w:val="en-US"/>
        </w:rPr>
        <w:t>D</w:t>
      </w:r>
      <w:r w:rsidRPr="00036AE2">
        <w:rPr>
          <w:rFonts w:ascii="Arial Narrow" w:hAnsi="Arial Narrow"/>
          <w:i/>
          <w:sz w:val="24"/>
          <w:szCs w:val="24"/>
          <w:lang w:val="ru-RU"/>
        </w:rPr>
        <w:t>.</w:t>
      </w:r>
      <w:r w:rsidRPr="00036AE2">
        <w:rPr>
          <w:rFonts w:ascii="Arial Narrow" w:hAnsi="Arial Narrow"/>
          <w:sz w:val="24"/>
          <w:szCs w:val="24"/>
          <w:lang w:val="ru-RU"/>
        </w:rPr>
        <w:t xml:space="preserve"> </w:t>
      </w:r>
      <w:r w:rsidRPr="00036AE2">
        <w:rPr>
          <w:rFonts w:ascii="Arial Narrow" w:hAnsi="Arial Narrow"/>
          <w:sz w:val="24"/>
          <w:szCs w:val="24"/>
        </w:rPr>
        <w:t xml:space="preserve">и </w:t>
      </w:r>
      <w:r w:rsidRPr="00036AE2">
        <w:rPr>
          <w:rFonts w:ascii="Arial Narrow" w:hAnsi="Arial Narrow"/>
          <w:i/>
          <w:sz w:val="24"/>
          <w:szCs w:val="24"/>
          <w:lang w:val="en-US"/>
        </w:rPr>
        <w:t>Z</w:t>
      </w:r>
      <w:r w:rsidRPr="00036AE2">
        <w:rPr>
          <w:rFonts w:ascii="Arial Narrow" w:hAnsi="Arial Narrow"/>
          <w:i/>
          <w:sz w:val="24"/>
          <w:szCs w:val="24"/>
          <w:lang w:val="ru-RU"/>
        </w:rPr>
        <w:t xml:space="preserve"> </w:t>
      </w:r>
      <w:r w:rsidRPr="00036AE2">
        <w:rPr>
          <w:rFonts w:ascii="Arial Narrow" w:hAnsi="Arial Narrow"/>
          <w:i/>
          <w:sz w:val="24"/>
          <w:szCs w:val="24"/>
          <w:lang w:val="en-US"/>
        </w:rPr>
        <w:t>v</w:t>
      </w:r>
      <w:r w:rsidRPr="00036AE2">
        <w:rPr>
          <w:rFonts w:ascii="Arial Narrow" w:hAnsi="Arial Narrow"/>
          <w:i/>
          <w:sz w:val="24"/>
          <w:szCs w:val="24"/>
          <w:lang w:val="ru-RU"/>
        </w:rPr>
        <w:t xml:space="preserve"> </w:t>
      </w:r>
      <w:r w:rsidRPr="00036AE2">
        <w:rPr>
          <w:rFonts w:ascii="Arial Narrow" w:hAnsi="Arial Narrow"/>
          <w:i/>
          <w:sz w:val="24"/>
          <w:szCs w:val="24"/>
        </w:rPr>
        <w:t>А</w:t>
      </w:r>
      <w:r w:rsidRPr="00036AE2">
        <w:rPr>
          <w:rFonts w:ascii="Arial Narrow" w:hAnsi="Arial Narrow"/>
          <w:sz w:val="24"/>
          <w:szCs w:val="24"/>
        </w:rPr>
        <w:t xml:space="preserve"> разкриват, че би могло да бъде трудно фиксирането на група лица, с която бъдещата майка или родителите на близнаци да бъдат уподобявани.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Веднъж установено, че сравнимите ситуации са третирани различно (или че еднакво третиране е прилагано при различни ситуации), Съдът на ЕС трябва да изследва дали такава разлика е обективно оправдана. Когато са използвани конституционно забранени форми на дискриминация, от Съда не се изисква </w:t>
      </w:r>
      <w:proofErr w:type="spellStart"/>
      <w:r w:rsidRPr="00036AE2">
        <w:rPr>
          <w:rFonts w:ascii="Arial Narrow" w:hAnsi="Arial Narrow"/>
          <w:sz w:val="24"/>
          <w:szCs w:val="24"/>
        </w:rPr>
        <w:t>последваща</w:t>
      </w:r>
      <w:proofErr w:type="spellEnd"/>
      <w:r w:rsidRPr="00036AE2">
        <w:rPr>
          <w:rFonts w:ascii="Arial Narrow" w:hAnsi="Arial Narrow"/>
          <w:sz w:val="24"/>
          <w:szCs w:val="24"/>
        </w:rPr>
        <w:t xml:space="preserve"> законодателна намеса, за да установи съвместимостта на това неравно третиране с Правото на ЕС.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В случаите, в които неравното третиране не включва тези форми, а е резултат от избора на законодателя, Съдът трябва да изследва вътрешната съгласуваност на този избор. Това става ясно, разглеждайки рационалността на избора</w:t>
      </w:r>
      <w:r w:rsidRPr="00036AE2">
        <w:rPr>
          <w:rFonts w:ascii="Arial Narrow" w:hAnsi="Arial Narrow"/>
          <w:sz w:val="24"/>
          <w:szCs w:val="24"/>
          <w:lang w:val="ru-RU"/>
        </w:rPr>
        <w:t xml:space="preserve">, </w:t>
      </w:r>
      <w:r w:rsidRPr="00036AE2">
        <w:rPr>
          <w:rFonts w:ascii="Arial Narrow" w:hAnsi="Arial Narrow"/>
          <w:sz w:val="24"/>
          <w:szCs w:val="24"/>
        </w:rPr>
        <w:t xml:space="preserve">правен от ЕС, или от националния законодател, във връзка с установяване волята на Съда в случаите, в които принципът на равно третиране е бил нарушен.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rPr>
      </w:pPr>
      <w:r w:rsidRPr="00036AE2">
        <w:rPr>
          <w:rFonts w:ascii="Arial Narrow" w:hAnsi="Arial Narrow"/>
          <w:sz w:val="24"/>
          <w:szCs w:val="24"/>
        </w:rPr>
        <w:t xml:space="preserve">Съответствието с принципа на равно третиране изисква съответствие с принципа на пропорционалност. Както решението по делото </w:t>
      </w:r>
      <w:proofErr w:type="spellStart"/>
      <w:r w:rsidRPr="00036AE2">
        <w:rPr>
          <w:rFonts w:ascii="Arial Narrow" w:hAnsi="Arial Narrow"/>
          <w:i/>
          <w:sz w:val="24"/>
          <w:szCs w:val="24"/>
          <w:lang w:val="en-US"/>
        </w:rPr>
        <w:t>Bressol</w:t>
      </w:r>
      <w:proofErr w:type="spellEnd"/>
      <w:r w:rsidRPr="00036AE2">
        <w:rPr>
          <w:rFonts w:ascii="Arial Narrow" w:hAnsi="Arial Narrow"/>
          <w:i/>
          <w:sz w:val="24"/>
          <w:szCs w:val="24"/>
          <w:lang w:val="ru-RU"/>
        </w:rPr>
        <w:t xml:space="preserve"> </w:t>
      </w:r>
      <w:r w:rsidRPr="00036AE2">
        <w:rPr>
          <w:rFonts w:ascii="Arial Narrow" w:hAnsi="Arial Narrow"/>
          <w:sz w:val="24"/>
          <w:szCs w:val="24"/>
        </w:rPr>
        <w:t xml:space="preserve">показва, това би могло да доведе до комплексно изследване на фактите от разглежданото дело. В контекста на </w:t>
      </w:r>
      <w:proofErr w:type="spellStart"/>
      <w:r w:rsidRPr="00036AE2">
        <w:rPr>
          <w:rFonts w:ascii="Arial Narrow" w:hAnsi="Arial Narrow"/>
          <w:sz w:val="24"/>
          <w:szCs w:val="24"/>
        </w:rPr>
        <w:t>преюдициалната</w:t>
      </w:r>
      <w:proofErr w:type="spellEnd"/>
      <w:r w:rsidRPr="00036AE2">
        <w:rPr>
          <w:rFonts w:ascii="Arial Narrow" w:hAnsi="Arial Narrow"/>
          <w:sz w:val="24"/>
          <w:szCs w:val="24"/>
        </w:rPr>
        <w:t xml:space="preserve"> процедура, това означава, че ролята на Съда е ограничена до осигуряване на алгоритъм за анализ, който националният съд трябва да приложи. </w:t>
      </w:r>
    </w:p>
    <w:p w:rsidR="007B37A0" w:rsidRPr="00036AE2" w:rsidRDefault="007B37A0" w:rsidP="00036AE2">
      <w:pPr>
        <w:pBdr>
          <w:bottom w:val="single" w:sz="6" w:space="1" w:color="auto"/>
        </w:pBdr>
        <w:spacing w:after="0" w:line="240" w:lineRule="auto"/>
        <w:ind w:firstLine="540"/>
        <w:jc w:val="both"/>
        <w:rPr>
          <w:rFonts w:ascii="Arial Narrow" w:hAnsi="Arial Narrow"/>
          <w:sz w:val="24"/>
          <w:szCs w:val="24"/>
          <w:lang w:val="ru-RU"/>
        </w:rPr>
      </w:pPr>
      <w:r w:rsidRPr="00036AE2">
        <w:rPr>
          <w:rFonts w:ascii="Arial Narrow" w:hAnsi="Arial Narrow"/>
          <w:sz w:val="24"/>
          <w:szCs w:val="24"/>
        </w:rPr>
        <w:t xml:space="preserve">Правото на ЕС и вътрешното право, попадащо в неговия обхват, трябва да бъдат интерпретирани в светлината на принципа на равно третиране. В случаите, в които такова тълкуване е невъзможно, оспорената Съюзна мярка се отменя или се прогласява за недействителна. Въпреки това, в частен случай, отмяната на национален закон, който противоречи на директива, може да стане само когато принципът на равно третиране е </w:t>
      </w:r>
      <w:r w:rsidRPr="00036AE2">
        <w:rPr>
          <w:rFonts w:ascii="Arial Narrow" w:hAnsi="Arial Narrow"/>
          <w:i/>
          <w:sz w:val="24"/>
          <w:szCs w:val="24"/>
        </w:rPr>
        <w:t>сам по себе си</w:t>
      </w:r>
      <w:r w:rsidRPr="00036AE2">
        <w:rPr>
          <w:rFonts w:ascii="Arial Narrow" w:hAnsi="Arial Narrow"/>
          <w:sz w:val="24"/>
          <w:szCs w:val="24"/>
        </w:rPr>
        <w:t xml:space="preserve"> достатъчно оперативен и задължителен по същността си, т.е. когато е предоставен конкретен израз на някоя от конституционно забранените форми на дискриминация</w:t>
      </w:r>
      <w:r w:rsidRPr="00036AE2">
        <w:rPr>
          <w:rFonts w:ascii="Arial Narrow" w:hAnsi="Arial Narrow"/>
          <w:sz w:val="24"/>
          <w:szCs w:val="24"/>
          <w:lang w:val="ru-RU"/>
        </w:rPr>
        <w:t>.</w:t>
      </w:r>
      <w:bookmarkStart w:id="0" w:name="_GoBack"/>
      <w:bookmarkEnd w:id="0"/>
    </w:p>
    <w:p w:rsidR="007B37A0" w:rsidRPr="002A7CD1" w:rsidRDefault="007B37A0" w:rsidP="002A7CD1">
      <w:pPr>
        <w:spacing w:after="0" w:line="240" w:lineRule="auto"/>
        <w:ind w:firstLine="540"/>
        <w:rPr>
          <w:rFonts w:ascii="Arial Narrow" w:hAnsi="Arial Narrow"/>
          <w:sz w:val="24"/>
          <w:szCs w:val="24"/>
          <w:u w:val="single"/>
        </w:rPr>
      </w:pPr>
      <w:r w:rsidRPr="002A7CD1">
        <w:rPr>
          <w:rFonts w:ascii="Arial Narrow" w:hAnsi="Arial Narrow"/>
          <w:sz w:val="24"/>
          <w:szCs w:val="24"/>
          <w:lang w:val="en-GB"/>
        </w:rPr>
        <w:br w:type="page"/>
      </w:r>
      <w:r w:rsidRPr="002A7CD1">
        <w:rPr>
          <w:rFonts w:ascii="Arial Narrow" w:hAnsi="Arial Narrow"/>
          <w:sz w:val="24"/>
          <w:szCs w:val="24"/>
          <w:u w:val="single"/>
        </w:rPr>
        <w:lastRenderedPageBreak/>
        <w:t>БЕЛЕЖКИ</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1</w:t>
      </w:r>
      <w:r w:rsidRPr="002A7CD1">
        <w:rPr>
          <w:rFonts w:ascii="Arial Narrow" w:hAnsi="Arial Narrow"/>
          <w:sz w:val="20"/>
          <w:szCs w:val="20"/>
        </w:rPr>
        <w:t xml:space="preserve"> </w:t>
      </w:r>
      <w:r w:rsidRPr="002A7CD1">
        <w:rPr>
          <w:rFonts w:ascii="Arial Narrow" w:hAnsi="Arial Narrow"/>
          <w:sz w:val="20"/>
          <w:szCs w:val="20"/>
          <w:lang w:val="en-US"/>
        </w:rPr>
        <w:t xml:space="preserve">M. Bell, “The Principle of Equal Treatment: Widening and Deepening” in P. Craig and G. de </w:t>
      </w:r>
      <w:proofErr w:type="spellStart"/>
      <w:r w:rsidRPr="002A7CD1">
        <w:rPr>
          <w:rFonts w:ascii="Arial Narrow" w:hAnsi="Arial Narrow"/>
          <w:sz w:val="20"/>
          <w:szCs w:val="20"/>
          <w:lang w:val="en-US"/>
        </w:rPr>
        <w:t>Búrca</w:t>
      </w:r>
      <w:proofErr w:type="spellEnd"/>
      <w:r w:rsidRPr="002A7CD1">
        <w:rPr>
          <w:rFonts w:ascii="Arial Narrow" w:hAnsi="Arial Narrow"/>
          <w:sz w:val="20"/>
          <w:szCs w:val="20"/>
          <w:lang w:val="en-US"/>
        </w:rPr>
        <w:t xml:space="preserve"> (</w:t>
      </w:r>
      <w:proofErr w:type="spellStart"/>
      <w:proofErr w:type="gramStart"/>
      <w:r w:rsidRPr="002A7CD1">
        <w:rPr>
          <w:rFonts w:ascii="Arial Narrow" w:hAnsi="Arial Narrow"/>
          <w:sz w:val="20"/>
          <w:szCs w:val="20"/>
          <w:lang w:val="en-US"/>
        </w:rPr>
        <w:t>eds</w:t>
      </w:r>
      <w:proofErr w:type="spellEnd"/>
      <w:proofErr w:type="gramEnd"/>
      <w:r w:rsidRPr="002A7CD1">
        <w:rPr>
          <w:rFonts w:ascii="Arial Narrow" w:hAnsi="Arial Narrow"/>
          <w:sz w:val="20"/>
          <w:szCs w:val="20"/>
          <w:lang w:val="en-US"/>
        </w:rPr>
        <w:t xml:space="preserve">), </w:t>
      </w:r>
      <w:r w:rsidRPr="002A7CD1">
        <w:rPr>
          <w:rFonts w:ascii="Arial Narrow" w:hAnsi="Arial Narrow"/>
          <w:i/>
          <w:sz w:val="20"/>
          <w:szCs w:val="20"/>
          <w:lang w:val="en-US"/>
        </w:rPr>
        <w:t>The Evolution of EU law</w:t>
      </w:r>
      <w:r w:rsidRPr="002A7CD1">
        <w:rPr>
          <w:rFonts w:ascii="Arial Narrow" w:hAnsi="Arial Narrow"/>
          <w:sz w:val="20"/>
          <w:szCs w:val="20"/>
          <w:lang w:val="en-US"/>
        </w:rPr>
        <w:t>, 2</w:t>
      </w:r>
      <w:r w:rsidRPr="002A7CD1">
        <w:rPr>
          <w:rFonts w:ascii="Arial Narrow" w:hAnsi="Arial Narrow"/>
          <w:sz w:val="20"/>
          <w:szCs w:val="20"/>
          <w:vertAlign w:val="superscript"/>
          <w:lang w:val="en-US"/>
        </w:rPr>
        <w:t>nd</w:t>
      </w:r>
      <w:r w:rsidRPr="002A7CD1">
        <w:rPr>
          <w:rFonts w:ascii="Arial Narrow" w:hAnsi="Arial Narrow"/>
          <w:sz w:val="20"/>
          <w:szCs w:val="20"/>
          <w:lang w:val="en-US"/>
        </w:rPr>
        <w:t xml:space="preserve"> Ed. </w:t>
      </w:r>
      <w:r w:rsidRPr="002A7CD1">
        <w:rPr>
          <w:rFonts w:ascii="Arial Narrow" w:hAnsi="Arial Narrow"/>
          <w:sz w:val="20"/>
          <w:szCs w:val="20"/>
          <w:lang w:val="ru-RU"/>
        </w:rPr>
        <w:t>(</w:t>
      </w:r>
      <w:r w:rsidRPr="002A7CD1">
        <w:rPr>
          <w:rFonts w:ascii="Arial Narrow" w:hAnsi="Arial Narrow"/>
          <w:sz w:val="20"/>
          <w:szCs w:val="20"/>
          <w:lang w:val="en-US"/>
        </w:rPr>
        <w:t>Oxford</w:t>
      </w:r>
      <w:r w:rsidRPr="002A7CD1">
        <w:rPr>
          <w:rFonts w:ascii="Arial Narrow" w:hAnsi="Arial Narrow"/>
          <w:sz w:val="20"/>
          <w:szCs w:val="20"/>
          <w:lang w:val="ru-RU"/>
        </w:rPr>
        <w:t xml:space="preserve">, </w:t>
      </w:r>
      <w:r w:rsidRPr="002A7CD1">
        <w:rPr>
          <w:rFonts w:ascii="Arial Narrow" w:hAnsi="Arial Narrow"/>
          <w:sz w:val="20"/>
          <w:szCs w:val="20"/>
          <w:lang w:val="en-US"/>
        </w:rPr>
        <w:t>OUP</w:t>
      </w:r>
      <w:r w:rsidRPr="002A7CD1">
        <w:rPr>
          <w:rFonts w:ascii="Arial Narrow" w:hAnsi="Arial Narrow"/>
          <w:sz w:val="20"/>
          <w:szCs w:val="20"/>
          <w:lang w:val="ru-RU"/>
        </w:rPr>
        <w:t xml:space="preserve">, 2011) 611 </w:t>
      </w:r>
      <w:r w:rsidRPr="002A7CD1">
        <w:rPr>
          <w:rFonts w:ascii="Arial Narrow" w:hAnsi="Arial Narrow"/>
          <w:sz w:val="20"/>
          <w:szCs w:val="20"/>
          <w:lang w:val="en-US"/>
        </w:rPr>
        <w:t>et</w:t>
      </w:r>
      <w:r w:rsidRPr="002A7CD1">
        <w:rPr>
          <w:rFonts w:ascii="Arial Narrow" w:hAnsi="Arial Narrow"/>
          <w:sz w:val="20"/>
          <w:szCs w:val="20"/>
          <w:lang w:val="ru-RU"/>
        </w:rPr>
        <w:t xml:space="preserve"> </w:t>
      </w:r>
      <w:proofErr w:type="spellStart"/>
      <w:r w:rsidRPr="002A7CD1">
        <w:rPr>
          <w:rFonts w:ascii="Arial Narrow" w:hAnsi="Arial Narrow"/>
          <w:sz w:val="20"/>
          <w:szCs w:val="20"/>
          <w:lang w:val="en-US"/>
        </w:rPr>
        <w:t>seq</w:t>
      </w:r>
      <w:proofErr w:type="spellEnd"/>
      <w:r w:rsidRPr="002A7CD1">
        <w:rPr>
          <w:rFonts w:ascii="Arial Narrow" w:hAnsi="Arial Narrow"/>
          <w:sz w:val="20"/>
          <w:szCs w:val="20"/>
          <w:lang w:val="ru-RU"/>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2</w:t>
      </w:r>
      <w:proofErr w:type="gramStart"/>
      <w:r w:rsidRPr="002A7CD1">
        <w:rPr>
          <w:rFonts w:ascii="Arial Narrow" w:hAnsi="Arial Narrow"/>
          <w:sz w:val="20"/>
          <w:szCs w:val="20"/>
          <w:lang w:val="ru-RU"/>
        </w:rPr>
        <w:t xml:space="preserve"> </w:t>
      </w:r>
      <w:r w:rsidRPr="002A7CD1">
        <w:rPr>
          <w:rFonts w:ascii="Arial Narrow" w:hAnsi="Arial Narrow"/>
          <w:sz w:val="20"/>
          <w:szCs w:val="20"/>
        </w:rPr>
        <w:t>Ч</w:t>
      </w:r>
      <w:proofErr w:type="gramEnd"/>
      <w:r w:rsidRPr="002A7CD1">
        <w:rPr>
          <w:rFonts w:ascii="Arial Narrow" w:hAnsi="Arial Narrow"/>
          <w:sz w:val="20"/>
          <w:szCs w:val="20"/>
        </w:rPr>
        <w:t>л. 2 ДЕС</w:t>
      </w:r>
      <w:r w:rsidRPr="002A7CD1">
        <w:rPr>
          <w:rFonts w:ascii="Arial Narrow" w:hAnsi="Arial Narrow"/>
          <w:sz w:val="20"/>
          <w:szCs w:val="20"/>
          <w:lang w:val="ru-RU"/>
        </w:rPr>
        <w:t xml:space="preserve"> </w:t>
      </w:r>
      <w:r w:rsidRPr="002A7CD1">
        <w:rPr>
          <w:rFonts w:ascii="Arial Narrow" w:hAnsi="Arial Narrow"/>
          <w:sz w:val="20"/>
          <w:szCs w:val="20"/>
        </w:rPr>
        <w:t>както следва</w:t>
      </w:r>
      <w:r w:rsidRPr="002A7CD1">
        <w:rPr>
          <w:rFonts w:ascii="Arial Narrow" w:hAnsi="Arial Narrow"/>
          <w:sz w:val="20"/>
          <w:szCs w:val="20"/>
          <w:lang w:val="ru-RU"/>
        </w:rPr>
        <w:t>:</w:t>
      </w:r>
      <w:r w:rsidRPr="002A7CD1">
        <w:rPr>
          <w:rFonts w:ascii="Arial Narrow" w:hAnsi="Arial Narrow"/>
          <w:sz w:val="20"/>
          <w:szCs w:val="20"/>
        </w:rPr>
        <w:t xml:space="preserve"> „Съюзът е построен въз основа на ценности като уважение на човешкото достойнство, свобода, демокрация, равенство, господство на правото и респект към човешките права, включително и към правата на хората от малцинствата. Тези ценности са повсеместни за държавите-членки в общество, в което възтържествува плурализмът, недискриминацията, толерантността, справедливостта, солидарността и равенството между мъже и жени.“</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 xml:space="preserve">3 </w:t>
      </w:r>
      <w:r w:rsidRPr="002A7CD1">
        <w:rPr>
          <w:rFonts w:ascii="Arial Narrow" w:hAnsi="Arial Narrow"/>
          <w:sz w:val="20"/>
          <w:szCs w:val="20"/>
          <w:lang w:val="ru-RU"/>
        </w:rPr>
        <w:t xml:space="preserve">[2012]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C</w:t>
      </w:r>
      <w:r w:rsidRPr="002A7CD1">
        <w:rPr>
          <w:rFonts w:ascii="Arial Narrow" w:hAnsi="Arial Narrow"/>
          <w:sz w:val="20"/>
          <w:szCs w:val="20"/>
          <w:lang w:val="ru-RU"/>
        </w:rPr>
        <w:t xml:space="preserve"> 326/02. </w:t>
      </w:r>
      <w:r w:rsidRPr="002A7CD1">
        <w:rPr>
          <w:rFonts w:ascii="Arial Narrow" w:hAnsi="Arial Narrow"/>
          <w:sz w:val="20"/>
          <w:szCs w:val="20"/>
        </w:rPr>
        <w:t xml:space="preserve">Глава </w:t>
      </w:r>
      <w:r w:rsidRPr="002A7CD1">
        <w:rPr>
          <w:rFonts w:ascii="Arial Narrow" w:hAnsi="Arial Narrow"/>
          <w:sz w:val="20"/>
          <w:szCs w:val="20"/>
          <w:lang w:val="en-US"/>
        </w:rPr>
        <w:t>III</w:t>
      </w:r>
      <w:r w:rsidRPr="002A7CD1">
        <w:rPr>
          <w:rFonts w:ascii="Arial Narrow" w:hAnsi="Arial Narrow"/>
          <w:sz w:val="20"/>
          <w:szCs w:val="20"/>
          <w:lang w:val="ru-RU"/>
        </w:rPr>
        <w:t xml:space="preserve"> </w:t>
      </w:r>
      <w:r w:rsidRPr="002A7CD1">
        <w:rPr>
          <w:rFonts w:ascii="Arial Narrow" w:hAnsi="Arial Narrow"/>
          <w:sz w:val="20"/>
          <w:szCs w:val="20"/>
        </w:rPr>
        <w:t xml:space="preserve">на Хартата, която манифестира равенството пред закона (чл. 20), недискриминацията (чл. 21), културното, религиозното и езиковото разнообразие (чл. 22), </w:t>
      </w:r>
      <w:proofErr w:type="spellStart"/>
      <w:r w:rsidRPr="002A7CD1">
        <w:rPr>
          <w:rFonts w:ascii="Arial Narrow" w:hAnsi="Arial Narrow"/>
          <w:sz w:val="20"/>
          <w:szCs w:val="20"/>
        </w:rPr>
        <w:t>равнопоставеността</w:t>
      </w:r>
      <w:proofErr w:type="spellEnd"/>
      <w:r w:rsidRPr="002A7CD1">
        <w:rPr>
          <w:rFonts w:ascii="Arial Narrow" w:hAnsi="Arial Narrow"/>
          <w:sz w:val="20"/>
          <w:szCs w:val="20"/>
        </w:rPr>
        <w:t xml:space="preserve"> на половете (чл. 23), правата на детето (чл. 24), правата на възрастните (чл. 25) и интеграцията на хората с увреждания (чл. 26).</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4</w:t>
      </w:r>
      <w:r w:rsidRPr="002A7CD1">
        <w:rPr>
          <w:rFonts w:ascii="Arial Narrow" w:hAnsi="Arial Narrow"/>
          <w:sz w:val="20"/>
          <w:szCs w:val="20"/>
        </w:rPr>
        <w:t xml:space="preserve"> Виж още във връзка с утвърждаване на равенството на половете чл. 3 (3) ДЕС и чл. 157 ДФЕС.</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5</w:t>
      </w:r>
      <w:r w:rsidRPr="002A7CD1">
        <w:rPr>
          <w:rFonts w:ascii="Arial Narrow" w:hAnsi="Arial Narrow"/>
          <w:sz w:val="20"/>
          <w:szCs w:val="20"/>
          <w:lang w:val="en-US"/>
        </w:rPr>
        <w:t xml:space="preserve"> K.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i/>
          <w:sz w:val="20"/>
          <w:szCs w:val="20"/>
          <w:lang w:val="en-US"/>
        </w:rPr>
        <w:t>European Union Law</w:t>
      </w:r>
      <w:r w:rsidRPr="002A7CD1">
        <w:rPr>
          <w:rFonts w:ascii="Arial Narrow" w:hAnsi="Arial Narrow"/>
          <w:sz w:val="20"/>
          <w:szCs w:val="20"/>
          <w:lang w:val="en-US"/>
        </w:rPr>
        <w:t>, 3</w:t>
      </w:r>
      <w:r w:rsidRPr="002A7CD1">
        <w:rPr>
          <w:rFonts w:ascii="Arial Narrow" w:hAnsi="Arial Narrow"/>
          <w:sz w:val="20"/>
          <w:szCs w:val="20"/>
          <w:vertAlign w:val="superscript"/>
          <w:lang w:val="en-US"/>
        </w:rPr>
        <w:t>rd</w:t>
      </w:r>
      <w:r w:rsidRPr="002A7CD1">
        <w:rPr>
          <w:rFonts w:ascii="Arial Narrow" w:hAnsi="Arial Narrow"/>
          <w:sz w:val="20"/>
          <w:szCs w:val="20"/>
          <w:lang w:val="en-US"/>
        </w:rPr>
        <w:t xml:space="preserve"> Ed. </w:t>
      </w:r>
      <w:r w:rsidRPr="002A7CD1">
        <w:rPr>
          <w:rFonts w:ascii="Arial Narrow" w:hAnsi="Arial Narrow"/>
          <w:sz w:val="20"/>
          <w:szCs w:val="20"/>
          <w:lang w:val="ru-RU"/>
        </w:rPr>
        <w:t>(</w:t>
      </w:r>
      <w:r w:rsidRPr="002A7CD1">
        <w:rPr>
          <w:rFonts w:ascii="Arial Narrow" w:hAnsi="Arial Narrow"/>
          <w:sz w:val="20"/>
          <w:szCs w:val="20"/>
          <w:lang w:val="en-US"/>
        </w:rPr>
        <w:t>London</w:t>
      </w:r>
      <w:r w:rsidRPr="002A7CD1">
        <w:rPr>
          <w:rFonts w:ascii="Arial Narrow" w:hAnsi="Arial Narrow"/>
          <w:sz w:val="20"/>
          <w:szCs w:val="20"/>
          <w:lang w:val="ru-RU"/>
        </w:rPr>
        <w:t xml:space="preserve">, </w:t>
      </w:r>
      <w:r w:rsidRPr="002A7CD1">
        <w:rPr>
          <w:rFonts w:ascii="Arial Narrow" w:hAnsi="Arial Narrow"/>
          <w:sz w:val="20"/>
          <w:szCs w:val="20"/>
          <w:lang w:val="en-US"/>
        </w:rPr>
        <w:t>Sweet</w:t>
      </w:r>
      <w:r w:rsidRPr="002A7CD1">
        <w:rPr>
          <w:rFonts w:ascii="Arial Narrow" w:hAnsi="Arial Narrow"/>
          <w:sz w:val="20"/>
          <w:szCs w:val="20"/>
          <w:lang w:val="ru-RU"/>
        </w:rPr>
        <w:t xml:space="preserve"> &amp; </w:t>
      </w:r>
      <w:r w:rsidRPr="002A7CD1">
        <w:rPr>
          <w:rFonts w:ascii="Arial Narrow" w:hAnsi="Arial Narrow"/>
          <w:sz w:val="20"/>
          <w:szCs w:val="20"/>
          <w:lang w:val="en-US"/>
        </w:rPr>
        <w:t>Maxwell</w:t>
      </w:r>
      <w:r w:rsidRPr="002A7CD1">
        <w:rPr>
          <w:rFonts w:ascii="Arial Narrow" w:hAnsi="Arial Narrow"/>
          <w:sz w:val="20"/>
          <w:szCs w:val="20"/>
          <w:lang w:val="ru-RU"/>
        </w:rPr>
        <w:t xml:space="preserve">, 2011), </w:t>
      </w:r>
      <w:r w:rsidRPr="002A7CD1">
        <w:rPr>
          <w:rFonts w:ascii="Arial Narrow" w:hAnsi="Arial Narrow"/>
          <w:sz w:val="20"/>
          <w:szCs w:val="20"/>
          <w:lang w:val="en-US"/>
        </w:rPr>
        <w:t>Chapter</w:t>
      </w:r>
      <w:r w:rsidRPr="002A7CD1">
        <w:rPr>
          <w:rFonts w:ascii="Arial Narrow" w:hAnsi="Arial Narrow"/>
          <w:sz w:val="20"/>
          <w:szCs w:val="20"/>
          <w:lang w:val="ru-RU"/>
        </w:rPr>
        <w:t xml:space="preserve"> 7, 156 </w:t>
      </w:r>
      <w:r w:rsidRPr="002A7CD1">
        <w:rPr>
          <w:rFonts w:ascii="Arial Narrow" w:hAnsi="Arial Narrow"/>
          <w:sz w:val="20"/>
          <w:szCs w:val="20"/>
          <w:lang w:val="en-US"/>
        </w:rPr>
        <w:t>et</w:t>
      </w:r>
      <w:r w:rsidRPr="002A7CD1">
        <w:rPr>
          <w:rFonts w:ascii="Arial Narrow" w:hAnsi="Arial Narrow"/>
          <w:sz w:val="20"/>
          <w:szCs w:val="20"/>
          <w:lang w:val="ru-RU"/>
        </w:rPr>
        <w:t xml:space="preserve"> </w:t>
      </w:r>
      <w:proofErr w:type="spellStart"/>
      <w:r w:rsidRPr="002A7CD1">
        <w:rPr>
          <w:rFonts w:ascii="Arial Narrow" w:hAnsi="Arial Narrow"/>
          <w:sz w:val="20"/>
          <w:szCs w:val="20"/>
          <w:lang w:val="en-US"/>
        </w:rPr>
        <w:t>seq</w:t>
      </w:r>
      <w:proofErr w:type="spellEnd"/>
      <w:r w:rsidRPr="002A7CD1">
        <w:rPr>
          <w:rFonts w:ascii="Arial Narrow" w:hAnsi="Arial Narrow"/>
          <w:sz w:val="20"/>
          <w:szCs w:val="20"/>
          <w:lang w:val="ru-RU"/>
        </w:rPr>
        <w:t>.</w:t>
      </w:r>
      <w:proofErr w:type="gramEnd"/>
    </w:p>
    <w:p w:rsidR="007B37A0" w:rsidRPr="002A7CD1" w:rsidRDefault="007B37A0" w:rsidP="002A7CD1">
      <w:pPr>
        <w:spacing w:after="0" w:line="240" w:lineRule="auto"/>
        <w:ind w:right="-360" w:firstLine="540"/>
        <w:rPr>
          <w:rFonts w:ascii="Arial Narrow" w:hAnsi="Arial Narrow"/>
          <w:sz w:val="20"/>
          <w:szCs w:val="20"/>
          <w:vertAlign w:val="superscript"/>
        </w:rPr>
      </w:pPr>
      <w:r w:rsidRPr="002A7CD1">
        <w:rPr>
          <w:rFonts w:ascii="Arial Narrow" w:hAnsi="Arial Narrow"/>
          <w:sz w:val="20"/>
          <w:szCs w:val="20"/>
          <w:vertAlign w:val="superscript"/>
          <w:lang w:val="ru-RU"/>
        </w:rPr>
        <w:t>6</w:t>
      </w:r>
      <w:r w:rsidRPr="002A7CD1">
        <w:rPr>
          <w:rFonts w:ascii="Arial Narrow" w:hAnsi="Arial Narrow"/>
          <w:sz w:val="20"/>
          <w:szCs w:val="20"/>
        </w:rPr>
        <w:t xml:space="preserve"> Директива 2004/113 допълва принципа на равно третиране на половете чрез достъпа до и снабдяването със стоки и услуги, </w:t>
      </w:r>
      <w:r w:rsidRPr="002A7CD1">
        <w:rPr>
          <w:rFonts w:ascii="Arial Narrow" w:hAnsi="Arial Narrow"/>
          <w:sz w:val="20"/>
          <w:szCs w:val="20"/>
          <w:lang w:val="ru-RU"/>
        </w:rPr>
        <w:t xml:space="preserve">[2004]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373/27.</w:t>
      </w:r>
      <w:r w:rsidRPr="002A7CD1">
        <w:rPr>
          <w:rFonts w:ascii="Arial Narrow" w:hAnsi="Arial Narrow"/>
          <w:sz w:val="20"/>
          <w:szCs w:val="20"/>
          <w:vertAlign w:val="superscript"/>
          <w:lang w:val="ru-RU"/>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 xml:space="preserve">7 </w:t>
      </w:r>
      <w:r w:rsidRPr="002A7CD1">
        <w:rPr>
          <w:rFonts w:ascii="Arial Narrow" w:hAnsi="Arial Narrow"/>
          <w:sz w:val="20"/>
          <w:szCs w:val="20"/>
        </w:rPr>
        <w:t xml:space="preserve">Това означава, че вътрешното право би могло да позволи на застрахователните компании да налагат по-високи застрахователни премии за мъжете в съответствие с тези за жените, тъй като при тях статистическите данни показват наличието на по-висок рисков фактор за причиняването на пътно-транспортно произшествие отколкото при жените. </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8</w:t>
      </w:r>
      <w:r w:rsidRPr="002A7CD1">
        <w:rPr>
          <w:rFonts w:ascii="Arial Narrow" w:hAnsi="Arial Narrow"/>
          <w:sz w:val="20"/>
          <w:szCs w:val="20"/>
        </w:rPr>
        <w:t xml:space="preserve"> Дело С-236/09 </w:t>
      </w:r>
      <w:r w:rsidRPr="002A7CD1">
        <w:rPr>
          <w:rFonts w:ascii="Arial Narrow" w:hAnsi="Arial Narrow"/>
          <w:i/>
          <w:sz w:val="20"/>
          <w:szCs w:val="20"/>
          <w:lang w:val="en-US"/>
        </w:rPr>
        <w:t>Association</w:t>
      </w:r>
      <w:r w:rsidRPr="002A7CD1">
        <w:rPr>
          <w:rFonts w:ascii="Arial Narrow" w:hAnsi="Arial Narrow"/>
          <w:i/>
          <w:sz w:val="20"/>
          <w:szCs w:val="20"/>
        </w:rPr>
        <w:t xml:space="preserve"> </w:t>
      </w:r>
      <w:proofErr w:type="spellStart"/>
      <w:r w:rsidRPr="002A7CD1">
        <w:rPr>
          <w:rFonts w:ascii="Arial Narrow" w:hAnsi="Arial Narrow"/>
          <w:i/>
          <w:sz w:val="20"/>
          <w:szCs w:val="20"/>
          <w:lang w:val="en-US"/>
        </w:rPr>
        <w:t>belge</w:t>
      </w:r>
      <w:proofErr w:type="spellEnd"/>
      <w:r w:rsidRPr="002A7CD1">
        <w:rPr>
          <w:rFonts w:ascii="Arial Narrow" w:hAnsi="Arial Narrow"/>
          <w:i/>
          <w:sz w:val="20"/>
          <w:szCs w:val="20"/>
        </w:rPr>
        <w:t xml:space="preserve"> </w:t>
      </w:r>
      <w:r w:rsidRPr="002A7CD1">
        <w:rPr>
          <w:rFonts w:ascii="Arial Narrow" w:hAnsi="Arial Narrow"/>
          <w:i/>
          <w:sz w:val="20"/>
          <w:szCs w:val="20"/>
          <w:lang w:val="en-US"/>
        </w:rPr>
        <w:t>des</w:t>
      </w:r>
      <w:r w:rsidRPr="002A7CD1">
        <w:rPr>
          <w:rFonts w:ascii="Arial Narrow" w:hAnsi="Arial Narrow"/>
          <w:i/>
          <w:sz w:val="20"/>
          <w:szCs w:val="20"/>
        </w:rPr>
        <w:t xml:space="preserve"> </w:t>
      </w:r>
      <w:proofErr w:type="spellStart"/>
      <w:r w:rsidRPr="002A7CD1">
        <w:rPr>
          <w:rFonts w:ascii="Arial Narrow" w:hAnsi="Arial Narrow"/>
          <w:i/>
          <w:sz w:val="20"/>
          <w:szCs w:val="20"/>
          <w:lang w:val="en-US"/>
        </w:rPr>
        <w:t>Consommateurs</w:t>
      </w:r>
      <w:proofErr w:type="spellEnd"/>
      <w:r w:rsidRPr="002A7CD1">
        <w:rPr>
          <w:rFonts w:ascii="Arial Narrow" w:hAnsi="Arial Narrow"/>
          <w:i/>
          <w:sz w:val="20"/>
          <w:szCs w:val="20"/>
        </w:rPr>
        <w:t xml:space="preserve"> </w:t>
      </w:r>
      <w:r w:rsidRPr="002A7CD1">
        <w:rPr>
          <w:rFonts w:ascii="Arial Narrow" w:hAnsi="Arial Narrow"/>
          <w:i/>
          <w:sz w:val="20"/>
          <w:szCs w:val="20"/>
          <w:lang w:val="en-US"/>
        </w:rPr>
        <w:t>Test</w:t>
      </w:r>
      <w:r w:rsidRPr="002A7CD1">
        <w:rPr>
          <w:rFonts w:ascii="Arial Narrow" w:hAnsi="Arial Narrow"/>
          <w:i/>
          <w:sz w:val="20"/>
          <w:szCs w:val="20"/>
        </w:rPr>
        <w:t>-</w:t>
      </w:r>
      <w:proofErr w:type="spellStart"/>
      <w:r w:rsidRPr="002A7CD1">
        <w:rPr>
          <w:rFonts w:ascii="Arial Narrow" w:hAnsi="Arial Narrow"/>
          <w:i/>
          <w:sz w:val="20"/>
          <w:szCs w:val="20"/>
          <w:lang w:val="en-US"/>
        </w:rPr>
        <w:t>Achats</w:t>
      </w:r>
      <w:proofErr w:type="spellEnd"/>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r w:rsidRPr="002A7CD1">
        <w:rPr>
          <w:rFonts w:ascii="Arial Narrow" w:hAnsi="Arial Narrow"/>
          <w:i/>
          <w:sz w:val="20"/>
          <w:szCs w:val="20"/>
          <w:lang w:val="en-US"/>
        </w:rPr>
        <w:t>Others</w:t>
      </w:r>
      <w:r w:rsidRPr="002A7CD1">
        <w:rPr>
          <w:rFonts w:ascii="Arial Narrow" w:hAnsi="Arial Narrow"/>
          <w:sz w:val="20"/>
          <w:szCs w:val="20"/>
        </w:rPr>
        <w:t xml:space="preserve">, решение от 01.03.2011г., още недокладвано,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20. Виж в тази връзка </w:t>
      </w:r>
      <w:r w:rsidRPr="002A7CD1">
        <w:rPr>
          <w:rFonts w:ascii="Arial Narrow" w:hAnsi="Arial Narrow"/>
          <w:sz w:val="20"/>
          <w:szCs w:val="20"/>
          <w:lang w:val="en-US"/>
        </w:rPr>
        <w:t xml:space="preserve">K. </w:t>
      </w:r>
      <w:proofErr w:type="spell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“The European Court of Justice and Process-Oriented Review” (2012) 31 </w:t>
      </w:r>
      <w:r w:rsidRPr="002A7CD1">
        <w:rPr>
          <w:rFonts w:ascii="Arial Narrow" w:hAnsi="Arial Narrow"/>
          <w:i/>
          <w:sz w:val="20"/>
          <w:szCs w:val="20"/>
          <w:lang w:val="en-US"/>
        </w:rPr>
        <w:t>Yearbook of European Law</w:t>
      </w:r>
      <w:r w:rsidRPr="002A7CD1">
        <w:rPr>
          <w:rFonts w:ascii="Arial Narrow" w:hAnsi="Arial Narrow"/>
          <w:sz w:val="20"/>
          <w:szCs w:val="20"/>
          <w:lang w:val="en-US"/>
        </w:rPr>
        <w:t xml:space="preserve"> 3.</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en-US"/>
        </w:rPr>
        <w:t>9</w:t>
      </w:r>
      <w:r w:rsidRPr="002A7CD1">
        <w:rPr>
          <w:rFonts w:ascii="Arial Narrow" w:hAnsi="Arial Narrow"/>
          <w:sz w:val="20"/>
          <w:szCs w:val="20"/>
          <w:lang w:val="en-US"/>
        </w:rPr>
        <w:t xml:space="preserve"> </w:t>
      </w:r>
      <w:proofErr w:type="gramStart"/>
      <w:r w:rsidRPr="002A7CD1">
        <w:rPr>
          <w:rFonts w:ascii="Arial Narrow" w:hAnsi="Arial Narrow"/>
          <w:i/>
          <w:sz w:val="20"/>
          <w:szCs w:val="20"/>
          <w:lang w:val="en-US"/>
        </w:rPr>
        <w:t>Ibid</w:t>
      </w:r>
      <w:r w:rsidRPr="002A7CD1">
        <w:rPr>
          <w:rFonts w:ascii="Arial Narrow" w:hAnsi="Arial Narrow"/>
          <w:sz w:val="20"/>
          <w:szCs w:val="20"/>
          <w:lang w:val="en-US"/>
        </w:rPr>
        <w:t>.,</w:t>
      </w:r>
      <w:proofErr w:type="gramEnd"/>
      <w:r w:rsidRPr="002A7CD1">
        <w:rPr>
          <w:rFonts w:ascii="Arial Narrow" w:hAnsi="Arial Narrow"/>
          <w:sz w:val="20"/>
          <w:szCs w:val="20"/>
          <w:lang w:val="en-US"/>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en-US"/>
        </w:rPr>
        <w:t>. 26.</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10</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lang w:val="en-US"/>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en-US"/>
        </w:rPr>
        <w:t>. 30.</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lang w:val="en-US"/>
        </w:rPr>
        <w:t>11</w:t>
      </w:r>
      <w:r w:rsidRPr="002A7CD1">
        <w:rPr>
          <w:rFonts w:ascii="Arial Narrow" w:hAnsi="Arial Narrow"/>
          <w:sz w:val="20"/>
          <w:szCs w:val="20"/>
          <w:lang w:val="en-US"/>
        </w:rPr>
        <w:t xml:space="preserve"> </w:t>
      </w:r>
      <w:proofErr w:type="gramStart"/>
      <w:r w:rsidRPr="002A7CD1">
        <w:rPr>
          <w:rFonts w:ascii="Arial Narrow" w:hAnsi="Arial Narrow"/>
          <w:i/>
          <w:sz w:val="20"/>
          <w:szCs w:val="20"/>
          <w:lang w:val="en-US"/>
        </w:rPr>
        <w:t>Ibid</w:t>
      </w:r>
      <w:r w:rsidRPr="002A7CD1">
        <w:rPr>
          <w:rFonts w:ascii="Arial Narrow" w:hAnsi="Arial Narrow"/>
          <w:sz w:val="20"/>
          <w:szCs w:val="20"/>
          <w:lang w:val="en-US"/>
        </w:rPr>
        <w:t>.,</w:t>
      </w:r>
      <w:proofErr w:type="gramEnd"/>
      <w:r w:rsidRPr="002A7CD1">
        <w:rPr>
          <w:rFonts w:ascii="Arial Narrow" w:hAnsi="Arial Narrow"/>
          <w:sz w:val="20"/>
          <w:szCs w:val="20"/>
          <w:lang w:val="en-US"/>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en-US"/>
        </w:rPr>
        <w:t>. 32.</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12</w:t>
      </w:r>
      <w:r w:rsidRPr="002A7CD1">
        <w:rPr>
          <w:rFonts w:ascii="Arial Narrow" w:hAnsi="Arial Narrow"/>
          <w:sz w:val="20"/>
          <w:szCs w:val="20"/>
          <w:lang w:val="ru-RU"/>
        </w:rPr>
        <w:t xml:space="preserve"> 21.12.2012</w:t>
      </w:r>
      <w:r w:rsidRPr="002A7CD1">
        <w:rPr>
          <w:rFonts w:ascii="Arial Narrow" w:hAnsi="Arial Narrow"/>
          <w:sz w:val="20"/>
          <w:szCs w:val="20"/>
        </w:rPr>
        <w:t xml:space="preserve">г. е датата, на която решението </w:t>
      </w:r>
      <w:proofErr w:type="gramStart"/>
      <w:r w:rsidRPr="002A7CD1">
        <w:rPr>
          <w:rFonts w:ascii="Arial Narrow" w:hAnsi="Arial Narrow"/>
          <w:sz w:val="20"/>
          <w:szCs w:val="20"/>
        </w:rPr>
        <w:t>за</w:t>
      </w:r>
      <w:proofErr w:type="gramEnd"/>
      <w:r w:rsidRPr="002A7CD1">
        <w:rPr>
          <w:rFonts w:ascii="Arial Narrow" w:hAnsi="Arial Narrow"/>
          <w:sz w:val="20"/>
          <w:szCs w:val="20"/>
        </w:rPr>
        <w:t xml:space="preserve"> </w:t>
      </w:r>
      <w:proofErr w:type="spellStart"/>
      <w:r w:rsidRPr="002A7CD1">
        <w:rPr>
          <w:rFonts w:ascii="Arial Narrow" w:hAnsi="Arial Narrow"/>
          <w:sz w:val="20"/>
          <w:szCs w:val="20"/>
        </w:rPr>
        <w:t>дерогация</w:t>
      </w:r>
      <w:proofErr w:type="spellEnd"/>
      <w:r w:rsidRPr="002A7CD1">
        <w:rPr>
          <w:rFonts w:ascii="Arial Narrow" w:hAnsi="Arial Narrow"/>
          <w:sz w:val="20"/>
          <w:szCs w:val="20"/>
        </w:rPr>
        <w:t xml:space="preserve"> на принципа на равно третиране на половете, предвидено в чл. 5 (2) на Директива 2004/113, трябваше да бъде преразгледано от засегнатата държава-членка. </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13</w:t>
      </w:r>
      <w:r w:rsidRPr="002A7CD1">
        <w:rPr>
          <w:rFonts w:ascii="Arial Narrow" w:hAnsi="Arial Narrow"/>
          <w:sz w:val="20"/>
          <w:szCs w:val="20"/>
        </w:rPr>
        <w:t xml:space="preserve"> Виж също дело</w:t>
      </w:r>
      <w:r w:rsidRPr="002A7CD1">
        <w:rPr>
          <w:rFonts w:ascii="Arial Narrow" w:hAnsi="Arial Narrow"/>
          <w:sz w:val="20"/>
          <w:szCs w:val="20"/>
          <w:lang w:val="ru-RU"/>
        </w:rPr>
        <w:t xml:space="preserve"> </w:t>
      </w:r>
      <w:r w:rsidRPr="002A7CD1">
        <w:rPr>
          <w:rFonts w:ascii="Arial Narrow" w:hAnsi="Arial Narrow"/>
          <w:sz w:val="20"/>
          <w:szCs w:val="20"/>
          <w:lang w:val="en-US"/>
        </w:rPr>
        <w:t>C</w:t>
      </w:r>
      <w:r w:rsidRPr="002A7CD1">
        <w:rPr>
          <w:rFonts w:ascii="Arial Narrow" w:hAnsi="Arial Narrow"/>
          <w:sz w:val="20"/>
          <w:szCs w:val="20"/>
          <w:lang w:val="ru-RU"/>
        </w:rPr>
        <w:t xml:space="preserve">-149/10 </w:t>
      </w:r>
      <w:proofErr w:type="spellStart"/>
      <w:r w:rsidRPr="002A7CD1">
        <w:rPr>
          <w:rFonts w:ascii="Arial Narrow" w:hAnsi="Arial Narrow"/>
          <w:i/>
          <w:sz w:val="20"/>
          <w:szCs w:val="20"/>
          <w:lang w:val="en-US"/>
        </w:rPr>
        <w:t>Chatzi</w:t>
      </w:r>
      <w:proofErr w:type="spellEnd"/>
      <w:r w:rsidRPr="002A7CD1">
        <w:rPr>
          <w:rFonts w:ascii="Arial Narrow" w:hAnsi="Arial Narrow"/>
          <w:sz w:val="20"/>
          <w:szCs w:val="20"/>
          <w:lang w:val="ru-RU"/>
        </w:rPr>
        <w:t xml:space="preserve"> [2010]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-8489,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xml:space="preserve">. 43; </w:t>
      </w:r>
      <w:r w:rsidRPr="002A7CD1">
        <w:rPr>
          <w:rFonts w:ascii="Arial Narrow" w:hAnsi="Arial Narrow"/>
          <w:sz w:val="20"/>
          <w:szCs w:val="20"/>
        </w:rPr>
        <w:t>дело</w:t>
      </w:r>
      <w:r w:rsidRPr="002A7CD1">
        <w:rPr>
          <w:rFonts w:ascii="Arial Narrow" w:hAnsi="Arial Narrow"/>
          <w:sz w:val="20"/>
          <w:szCs w:val="20"/>
          <w:lang w:val="ru-RU"/>
        </w:rPr>
        <w:t xml:space="preserve"> </w:t>
      </w:r>
      <w:r w:rsidRPr="002A7CD1">
        <w:rPr>
          <w:rFonts w:ascii="Arial Narrow" w:hAnsi="Arial Narrow"/>
          <w:sz w:val="20"/>
          <w:szCs w:val="20"/>
          <w:lang w:val="en-US"/>
        </w:rPr>
        <w:t>C</w:t>
      </w:r>
      <w:r w:rsidRPr="002A7CD1">
        <w:rPr>
          <w:rFonts w:ascii="Arial Narrow" w:hAnsi="Arial Narrow"/>
          <w:sz w:val="20"/>
          <w:szCs w:val="20"/>
          <w:lang w:val="ru-RU"/>
        </w:rPr>
        <w:t xml:space="preserve">-12/11 </w:t>
      </w:r>
      <w:proofErr w:type="spellStart"/>
      <w:r w:rsidRPr="002A7CD1">
        <w:rPr>
          <w:rFonts w:ascii="Arial Narrow" w:hAnsi="Arial Narrow"/>
          <w:i/>
          <w:sz w:val="20"/>
          <w:szCs w:val="20"/>
          <w:lang w:val="en-US"/>
        </w:rPr>
        <w:t>McDonagh</w:t>
      </w:r>
      <w:proofErr w:type="spellEnd"/>
      <w:r w:rsidRPr="002A7CD1">
        <w:rPr>
          <w:rFonts w:ascii="Arial Narrow" w:hAnsi="Arial Narrow"/>
          <w:sz w:val="20"/>
          <w:szCs w:val="20"/>
          <w:lang w:val="ru-RU"/>
        </w:rPr>
        <w:t xml:space="preserve">, </w:t>
      </w:r>
      <w:r w:rsidRPr="002A7CD1">
        <w:rPr>
          <w:rFonts w:ascii="Arial Narrow" w:hAnsi="Arial Narrow"/>
          <w:sz w:val="20"/>
          <w:szCs w:val="20"/>
        </w:rPr>
        <w:t>решение от</w:t>
      </w:r>
      <w:r w:rsidRPr="002A7CD1">
        <w:rPr>
          <w:rFonts w:ascii="Arial Narrow" w:hAnsi="Arial Narrow"/>
          <w:sz w:val="20"/>
          <w:szCs w:val="20"/>
          <w:lang w:val="ru-RU"/>
        </w:rPr>
        <w:t xml:space="preserve"> 31</w:t>
      </w:r>
      <w:r w:rsidRPr="002A7CD1">
        <w:rPr>
          <w:rFonts w:ascii="Arial Narrow" w:hAnsi="Arial Narrow"/>
          <w:sz w:val="20"/>
          <w:szCs w:val="20"/>
        </w:rPr>
        <w:t>.01.2013г.</w:t>
      </w:r>
      <w:r w:rsidRPr="002A7CD1">
        <w:rPr>
          <w:rFonts w:ascii="Arial Narrow" w:hAnsi="Arial Narrow"/>
          <w:sz w:val="20"/>
          <w:szCs w:val="20"/>
          <w:lang w:val="ru-RU"/>
        </w:rPr>
        <w:t xml:space="preserve">, </w:t>
      </w:r>
      <w:r w:rsidRPr="002A7CD1">
        <w:rPr>
          <w:rFonts w:ascii="Arial Narrow" w:hAnsi="Arial Narrow"/>
          <w:sz w:val="20"/>
          <w:szCs w:val="20"/>
        </w:rPr>
        <w:t>все още недокладвано</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xml:space="preserve">. 44. </w:t>
      </w:r>
    </w:p>
    <w:p w:rsidR="007B37A0" w:rsidRPr="002A7CD1" w:rsidRDefault="007B37A0" w:rsidP="002A7CD1">
      <w:pPr>
        <w:spacing w:after="0" w:line="240" w:lineRule="auto"/>
        <w:ind w:right="-360" w:firstLine="540"/>
        <w:rPr>
          <w:rFonts w:ascii="Arial Narrow" w:hAnsi="Arial Narrow"/>
          <w:sz w:val="20"/>
          <w:szCs w:val="20"/>
          <w:lang w:val="ru-RU"/>
        </w:rPr>
      </w:pPr>
      <w:proofErr w:type="gramStart"/>
      <w:r w:rsidRPr="002A7CD1">
        <w:rPr>
          <w:rFonts w:ascii="Arial Narrow" w:hAnsi="Arial Narrow"/>
          <w:sz w:val="20"/>
          <w:szCs w:val="20"/>
          <w:vertAlign w:val="superscript"/>
          <w:lang w:val="en-US"/>
        </w:rPr>
        <w:t>14</w:t>
      </w:r>
      <w:r w:rsidRPr="002A7CD1">
        <w:rPr>
          <w:rFonts w:ascii="Arial Narrow" w:hAnsi="Arial Narrow"/>
          <w:sz w:val="20"/>
          <w:szCs w:val="20"/>
          <w:lang w:val="en-US"/>
        </w:rPr>
        <w:t xml:space="preserve"> </w:t>
      </w:r>
      <w:r w:rsidRPr="002A7CD1">
        <w:rPr>
          <w:rFonts w:ascii="Arial Narrow" w:hAnsi="Arial Narrow"/>
          <w:sz w:val="20"/>
          <w:szCs w:val="20"/>
        </w:rPr>
        <w:t>Свързани дела</w:t>
      </w:r>
      <w:r w:rsidRPr="002A7CD1">
        <w:rPr>
          <w:rFonts w:ascii="Arial Narrow" w:hAnsi="Arial Narrow"/>
          <w:sz w:val="20"/>
          <w:szCs w:val="20"/>
          <w:lang w:val="en-US"/>
        </w:rPr>
        <w:t xml:space="preserve"> C-402/07 </w:t>
      </w:r>
      <w:r w:rsidRPr="002A7CD1">
        <w:rPr>
          <w:rFonts w:ascii="Arial Narrow" w:hAnsi="Arial Narrow"/>
          <w:sz w:val="20"/>
          <w:szCs w:val="20"/>
        </w:rPr>
        <w:t>и</w:t>
      </w:r>
      <w:r w:rsidRPr="002A7CD1">
        <w:rPr>
          <w:rFonts w:ascii="Arial Narrow" w:hAnsi="Arial Narrow"/>
          <w:sz w:val="20"/>
          <w:szCs w:val="20"/>
          <w:lang w:val="en-US"/>
        </w:rPr>
        <w:t xml:space="preserve"> C-432/07 </w:t>
      </w:r>
      <w:r w:rsidRPr="002A7CD1">
        <w:rPr>
          <w:rFonts w:ascii="Arial Narrow" w:hAnsi="Arial Narrow"/>
          <w:i/>
          <w:sz w:val="20"/>
          <w:szCs w:val="20"/>
          <w:lang w:val="en-US"/>
        </w:rPr>
        <w:t>Sturgeon and Others</w:t>
      </w:r>
      <w:r w:rsidRPr="002A7CD1">
        <w:rPr>
          <w:rFonts w:ascii="Arial Narrow" w:hAnsi="Arial Narrow"/>
          <w:sz w:val="20"/>
          <w:szCs w:val="20"/>
          <w:lang w:val="en-US"/>
        </w:rPr>
        <w:t xml:space="preserve"> [2009] E.C.R. I-10923, </w:t>
      </w:r>
      <w:proofErr w:type="spellStart"/>
      <w:r w:rsidRPr="002A7CD1">
        <w:rPr>
          <w:rFonts w:ascii="Arial Narrow" w:hAnsi="Arial Narrow"/>
          <w:sz w:val="20"/>
          <w:szCs w:val="20"/>
        </w:rPr>
        <w:t>пар</w:t>
      </w:r>
      <w:proofErr w:type="spellEnd"/>
      <w:r w:rsidRPr="002A7CD1">
        <w:rPr>
          <w:rFonts w:ascii="Arial Narrow" w:hAnsi="Arial Narrow"/>
          <w:sz w:val="20"/>
          <w:szCs w:val="20"/>
          <w:lang w:val="en-US"/>
        </w:rPr>
        <w:t>.</w:t>
      </w:r>
      <w:proofErr w:type="gramEnd"/>
      <w:r w:rsidRPr="002A7CD1">
        <w:rPr>
          <w:rFonts w:ascii="Arial Narrow" w:hAnsi="Arial Narrow"/>
          <w:sz w:val="20"/>
          <w:szCs w:val="20"/>
          <w:lang w:val="en-US"/>
        </w:rPr>
        <w:t xml:space="preserve"> 48-61. </w:t>
      </w:r>
      <w:r w:rsidRPr="002A7CD1">
        <w:rPr>
          <w:rFonts w:ascii="Arial Narrow" w:hAnsi="Arial Narrow"/>
          <w:sz w:val="20"/>
          <w:szCs w:val="20"/>
        </w:rPr>
        <w:t>Виж също свързани дела</w:t>
      </w:r>
      <w:r w:rsidRPr="002A7CD1">
        <w:rPr>
          <w:rFonts w:ascii="Arial Narrow" w:hAnsi="Arial Narrow"/>
          <w:sz w:val="20"/>
          <w:szCs w:val="20"/>
          <w:lang w:val="ru-RU"/>
        </w:rPr>
        <w:t xml:space="preserve"> </w:t>
      </w:r>
      <w:r w:rsidRPr="002A7CD1">
        <w:rPr>
          <w:rFonts w:ascii="Arial Narrow" w:hAnsi="Arial Narrow"/>
          <w:sz w:val="20"/>
          <w:szCs w:val="20"/>
          <w:lang w:val="en-US"/>
        </w:rPr>
        <w:t>C</w:t>
      </w:r>
      <w:r w:rsidRPr="002A7CD1">
        <w:rPr>
          <w:rFonts w:ascii="Arial Narrow" w:hAnsi="Arial Narrow"/>
          <w:sz w:val="20"/>
          <w:szCs w:val="20"/>
          <w:lang w:val="ru-RU"/>
        </w:rPr>
        <w:t xml:space="preserve">-581/10 </w:t>
      </w:r>
      <w:r w:rsidRPr="002A7CD1">
        <w:rPr>
          <w:rFonts w:ascii="Arial Narrow" w:hAnsi="Arial Narrow"/>
          <w:sz w:val="20"/>
          <w:szCs w:val="20"/>
        </w:rPr>
        <w:t>и</w:t>
      </w:r>
      <w:r w:rsidRPr="002A7CD1">
        <w:rPr>
          <w:rFonts w:ascii="Arial Narrow" w:hAnsi="Arial Narrow"/>
          <w:sz w:val="20"/>
          <w:szCs w:val="20"/>
          <w:lang w:val="ru-RU"/>
        </w:rPr>
        <w:t xml:space="preserve"> </w:t>
      </w:r>
      <w:r w:rsidRPr="002A7CD1">
        <w:rPr>
          <w:rFonts w:ascii="Arial Narrow" w:hAnsi="Arial Narrow"/>
          <w:sz w:val="20"/>
          <w:szCs w:val="20"/>
          <w:lang w:val="en-US"/>
        </w:rPr>
        <w:t>C</w:t>
      </w:r>
      <w:r w:rsidRPr="002A7CD1">
        <w:rPr>
          <w:rFonts w:ascii="Arial Narrow" w:hAnsi="Arial Narrow"/>
          <w:sz w:val="20"/>
          <w:szCs w:val="20"/>
          <w:lang w:val="ru-RU"/>
        </w:rPr>
        <w:t xml:space="preserve">-629/10 </w:t>
      </w:r>
      <w:r w:rsidRPr="002A7CD1">
        <w:rPr>
          <w:rFonts w:ascii="Arial Narrow" w:hAnsi="Arial Narrow"/>
          <w:i/>
          <w:sz w:val="20"/>
          <w:szCs w:val="20"/>
          <w:lang w:val="en-US"/>
        </w:rPr>
        <w:t>Nelson</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решение от</w:t>
      </w:r>
      <w:r w:rsidRPr="002A7CD1">
        <w:rPr>
          <w:rFonts w:ascii="Arial Narrow" w:hAnsi="Arial Narrow"/>
          <w:sz w:val="20"/>
          <w:szCs w:val="20"/>
          <w:lang w:val="ru-RU"/>
        </w:rPr>
        <w:t xml:space="preserve"> </w:t>
      </w:r>
      <w:proofErr w:type="gramStart"/>
      <w:r w:rsidRPr="002A7CD1">
        <w:rPr>
          <w:rFonts w:ascii="Arial Narrow" w:hAnsi="Arial Narrow"/>
          <w:sz w:val="20"/>
          <w:szCs w:val="20"/>
          <w:lang w:val="ru-RU"/>
        </w:rPr>
        <w:t>23</w:t>
      </w:r>
      <w:r w:rsidRPr="002A7CD1">
        <w:rPr>
          <w:rFonts w:ascii="Arial Narrow" w:hAnsi="Arial Narrow"/>
          <w:sz w:val="20"/>
          <w:szCs w:val="20"/>
        </w:rPr>
        <w:t>.10.</w:t>
      </w:r>
      <w:r w:rsidRPr="002A7CD1">
        <w:rPr>
          <w:rFonts w:ascii="Arial Narrow" w:hAnsi="Arial Narrow"/>
          <w:sz w:val="20"/>
          <w:szCs w:val="20"/>
          <w:lang w:val="ru-RU"/>
        </w:rPr>
        <w:t>2012</w:t>
      </w:r>
      <w:r w:rsidRPr="002A7CD1">
        <w:rPr>
          <w:rFonts w:ascii="Arial Narrow" w:hAnsi="Arial Narrow"/>
          <w:sz w:val="20"/>
          <w:szCs w:val="20"/>
        </w:rPr>
        <w:t>г.</w:t>
      </w:r>
      <w:r w:rsidRPr="002A7CD1">
        <w:rPr>
          <w:rFonts w:ascii="Arial Narrow" w:hAnsi="Arial Narrow"/>
          <w:sz w:val="20"/>
          <w:szCs w:val="20"/>
          <w:lang w:val="ru-RU"/>
        </w:rPr>
        <w:t>,</w:t>
      </w:r>
      <w:proofErr w:type="gramEnd"/>
      <w:r w:rsidRPr="002A7CD1">
        <w:rPr>
          <w:rFonts w:ascii="Arial Narrow" w:hAnsi="Arial Narrow"/>
          <w:sz w:val="20"/>
          <w:szCs w:val="20"/>
          <w:lang w:val="ru-RU"/>
        </w:rPr>
        <w:t xml:space="preserve"> </w:t>
      </w:r>
      <w:r w:rsidRPr="002A7CD1">
        <w:rPr>
          <w:rFonts w:ascii="Arial Narrow" w:hAnsi="Arial Narrow"/>
          <w:sz w:val="20"/>
          <w:szCs w:val="20"/>
        </w:rPr>
        <w:t>все още недокладвано</w:t>
      </w:r>
      <w:r w:rsidRPr="002A7CD1">
        <w:rPr>
          <w:rFonts w:ascii="Arial Narrow" w:hAnsi="Arial Narrow"/>
          <w:sz w:val="20"/>
          <w:szCs w:val="20"/>
          <w:lang w:val="ru-RU"/>
        </w:rPr>
        <w:t>.</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15</w:t>
      </w:r>
      <w:r w:rsidRPr="002A7CD1">
        <w:rPr>
          <w:rFonts w:ascii="Arial Narrow" w:hAnsi="Arial Narrow"/>
          <w:sz w:val="20"/>
          <w:szCs w:val="20"/>
          <w:lang w:val="ru-RU"/>
        </w:rPr>
        <w:t xml:space="preserve"> </w:t>
      </w:r>
      <w:r w:rsidRPr="002A7CD1">
        <w:rPr>
          <w:rFonts w:ascii="Arial Narrow" w:hAnsi="Arial Narrow"/>
          <w:sz w:val="20"/>
          <w:szCs w:val="20"/>
        </w:rPr>
        <w:t xml:space="preserve">Регламент </w:t>
      </w:r>
      <w:r w:rsidRPr="002A7CD1">
        <w:rPr>
          <w:rFonts w:ascii="Arial Narrow" w:hAnsi="Arial Narrow"/>
          <w:sz w:val="20"/>
          <w:szCs w:val="20"/>
          <w:lang w:val="en-US"/>
        </w:rPr>
        <w:t>N</w:t>
      </w:r>
      <w:r w:rsidRPr="002A7CD1">
        <w:rPr>
          <w:rFonts w:ascii="Arial Narrow" w:hAnsi="Arial Narrow"/>
          <w:sz w:val="20"/>
          <w:szCs w:val="20"/>
        </w:rPr>
        <w:t xml:space="preserve">261/2004 на Европейския парламент и на Съвета от 11.02.2004г., утвърждаващ общи правила по повод компенсация и подпомагане на пасажери в случай на отхвърлен полет и анулиране, или дълго забавяне на полети, отменящо Регламент (ЕИО) </w:t>
      </w:r>
      <w:r w:rsidRPr="002A7CD1">
        <w:rPr>
          <w:rFonts w:ascii="Arial Narrow" w:hAnsi="Arial Narrow"/>
          <w:sz w:val="20"/>
          <w:szCs w:val="20"/>
          <w:lang w:val="en-US"/>
        </w:rPr>
        <w:t>N</w:t>
      </w:r>
      <w:r w:rsidRPr="002A7CD1">
        <w:rPr>
          <w:rFonts w:ascii="Arial Narrow" w:hAnsi="Arial Narrow"/>
          <w:sz w:val="20"/>
          <w:szCs w:val="20"/>
        </w:rPr>
        <w:t xml:space="preserve">295/91 </w:t>
      </w:r>
      <w:r w:rsidRPr="002A7CD1">
        <w:rPr>
          <w:rFonts w:ascii="Arial Narrow" w:hAnsi="Arial Narrow"/>
          <w:sz w:val="20"/>
          <w:szCs w:val="20"/>
          <w:lang w:val="ru-RU"/>
        </w:rPr>
        <w:t xml:space="preserve">[2004]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46/1. </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16</w:t>
      </w:r>
      <w:r w:rsidRPr="002A7CD1">
        <w:rPr>
          <w:rFonts w:ascii="Arial Narrow" w:hAnsi="Arial Narrow"/>
          <w:sz w:val="20"/>
          <w:szCs w:val="20"/>
        </w:rPr>
        <w:t xml:space="preserve"> </w:t>
      </w:r>
      <w:r w:rsidRPr="002A7CD1">
        <w:rPr>
          <w:rFonts w:ascii="Arial Narrow" w:hAnsi="Arial Narrow"/>
          <w:i/>
          <w:sz w:val="20"/>
          <w:szCs w:val="20"/>
          <w:lang w:val="en-US"/>
        </w:rPr>
        <w:t>Sturgeon and Others</w:t>
      </w:r>
      <w:r w:rsidRPr="002A7CD1">
        <w:rPr>
          <w:rFonts w:ascii="Arial Narrow" w:hAnsi="Arial Narrow"/>
          <w:sz w:val="20"/>
          <w:szCs w:val="20"/>
          <w:lang w:val="en-US"/>
        </w:rPr>
        <w:t xml:space="preserve">, </w:t>
      </w:r>
      <w:r w:rsidRPr="002A7CD1">
        <w:rPr>
          <w:rFonts w:ascii="Arial Narrow" w:hAnsi="Arial Narrow"/>
          <w:sz w:val="20"/>
          <w:szCs w:val="20"/>
        </w:rPr>
        <w:t>горе</w:t>
      </w:r>
      <w:r w:rsidRPr="002A7CD1">
        <w:rPr>
          <w:rFonts w:ascii="Arial Narrow" w:hAnsi="Arial Narrow"/>
          <w:sz w:val="20"/>
          <w:szCs w:val="20"/>
          <w:lang w:val="en-US"/>
        </w:rPr>
        <w:t xml:space="preserve"> 14, </w:t>
      </w:r>
      <w:proofErr w:type="spellStart"/>
      <w:r w:rsidRPr="002A7CD1">
        <w:rPr>
          <w:rFonts w:ascii="Arial Narrow" w:hAnsi="Arial Narrow"/>
          <w:sz w:val="20"/>
          <w:szCs w:val="20"/>
        </w:rPr>
        <w:t>пар</w:t>
      </w:r>
      <w:proofErr w:type="spellEnd"/>
      <w:r w:rsidRPr="002A7CD1">
        <w:rPr>
          <w:rFonts w:ascii="Arial Narrow" w:hAnsi="Arial Narrow"/>
          <w:sz w:val="20"/>
          <w:szCs w:val="20"/>
          <w:lang w:val="en-US"/>
        </w:rPr>
        <w:t>. 46.</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lang w:val="ru-RU"/>
        </w:rPr>
        <w:t>17</w:t>
      </w:r>
      <w:r w:rsidRPr="002A7CD1">
        <w:rPr>
          <w:rFonts w:ascii="Arial Narrow" w:hAnsi="Arial Narrow"/>
          <w:sz w:val="20"/>
          <w:szCs w:val="20"/>
          <w:lang w:val="ru-RU"/>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47.</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lang w:val="ru-RU"/>
        </w:rPr>
        <w:t>18</w:t>
      </w:r>
      <w:r w:rsidRPr="002A7CD1">
        <w:rPr>
          <w:rFonts w:ascii="Arial Narrow" w:hAnsi="Arial Narrow"/>
          <w:sz w:val="20"/>
          <w:szCs w:val="20"/>
          <w:lang w:val="ru-RU"/>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57.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 xml:space="preserve">19 </w:t>
      </w:r>
      <w:r w:rsidRPr="002A7CD1">
        <w:rPr>
          <w:rFonts w:ascii="Arial Narrow" w:hAnsi="Arial Narrow"/>
          <w:sz w:val="20"/>
          <w:szCs w:val="20"/>
        </w:rPr>
        <w:t xml:space="preserve">Методът, следван от А. Г. </w:t>
      </w:r>
      <w:proofErr w:type="spellStart"/>
      <w:r w:rsidRPr="002A7CD1">
        <w:rPr>
          <w:rFonts w:ascii="Arial Narrow" w:hAnsi="Arial Narrow"/>
          <w:sz w:val="20"/>
          <w:szCs w:val="20"/>
        </w:rPr>
        <w:t>Шарпстън</w:t>
      </w:r>
      <w:proofErr w:type="spellEnd"/>
      <w:r w:rsidRPr="002A7CD1">
        <w:rPr>
          <w:rFonts w:ascii="Arial Narrow" w:hAnsi="Arial Narrow"/>
          <w:sz w:val="20"/>
          <w:szCs w:val="20"/>
        </w:rPr>
        <w:t xml:space="preserve">, е различен. Тя се съгласи със Съда на ЕС признавайки, че ако беше изключена компенсация за пасажери, чиито полети са забавени, тогава би било невъзможно съгласуването между Регламент </w:t>
      </w:r>
      <w:r w:rsidRPr="002A7CD1">
        <w:rPr>
          <w:rFonts w:ascii="Arial Narrow" w:hAnsi="Arial Narrow"/>
          <w:sz w:val="20"/>
          <w:szCs w:val="20"/>
          <w:lang w:val="en-US"/>
        </w:rPr>
        <w:t>N</w:t>
      </w:r>
      <w:r w:rsidRPr="002A7CD1">
        <w:rPr>
          <w:rFonts w:ascii="Arial Narrow" w:hAnsi="Arial Narrow"/>
          <w:sz w:val="20"/>
          <w:szCs w:val="20"/>
        </w:rPr>
        <w:t xml:space="preserve">261/2004 и принципа за равно третиране. Въпреки това, за разлика от Съда, генералният адвокат не предвиди определен времеви лимит, след изтичането на който пасажерите със забавен полет придобиват правото на компенсация. Според нея „действителният избор на магическа фигура е законодателно правомощие“. Виж мнението на А. Г. </w:t>
      </w:r>
      <w:proofErr w:type="spellStart"/>
      <w:r w:rsidRPr="002A7CD1">
        <w:rPr>
          <w:rFonts w:ascii="Arial Narrow" w:hAnsi="Arial Narrow"/>
          <w:sz w:val="20"/>
          <w:szCs w:val="20"/>
        </w:rPr>
        <w:t>Шарпстън</w:t>
      </w:r>
      <w:proofErr w:type="spellEnd"/>
      <w:r w:rsidRPr="002A7CD1">
        <w:rPr>
          <w:rFonts w:ascii="Arial Narrow" w:hAnsi="Arial Narrow"/>
          <w:sz w:val="20"/>
          <w:szCs w:val="20"/>
        </w:rPr>
        <w:t xml:space="preserve"> в </w:t>
      </w:r>
      <w:r w:rsidRPr="002A7CD1">
        <w:rPr>
          <w:rFonts w:ascii="Arial Narrow" w:hAnsi="Arial Narrow"/>
          <w:i/>
          <w:sz w:val="20"/>
          <w:szCs w:val="20"/>
          <w:lang w:val="en-US"/>
        </w:rPr>
        <w:t>Sturgeon</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 xml:space="preserve">горе 14, </w:t>
      </w:r>
      <w:proofErr w:type="spellStart"/>
      <w:r w:rsidRPr="002A7CD1">
        <w:rPr>
          <w:rFonts w:ascii="Arial Narrow" w:hAnsi="Arial Narrow"/>
          <w:sz w:val="20"/>
          <w:szCs w:val="20"/>
        </w:rPr>
        <w:t>пар</w:t>
      </w:r>
      <w:proofErr w:type="spellEnd"/>
      <w:r w:rsidRPr="002A7CD1">
        <w:rPr>
          <w:rFonts w:ascii="Arial Narrow" w:hAnsi="Arial Narrow"/>
          <w:sz w:val="20"/>
          <w:szCs w:val="20"/>
        </w:rPr>
        <w:t>. 93-94. Тук Съдът разгърна друг аргумент с цел да противостои на това „</w:t>
      </w:r>
      <w:proofErr w:type="spellStart"/>
      <w:r w:rsidRPr="002A7CD1">
        <w:rPr>
          <w:rFonts w:ascii="Arial Narrow" w:hAnsi="Arial Narrow"/>
          <w:sz w:val="20"/>
          <w:szCs w:val="20"/>
        </w:rPr>
        <w:t>сепаратистко</w:t>
      </w:r>
      <w:proofErr w:type="spellEnd"/>
      <w:r w:rsidRPr="002A7CD1">
        <w:rPr>
          <w:rFonts w:ascii="Arial Narrow" w:hAnsi="Arial Narrow"/>
          <w:sz w:val="20"/>
          <w:szCs w:val="20"/>
        </w:rPr>
        <w:t xml:space="preserve">“ възражение. Той се позова на Изложение 15 от преамбюла на Регламент </w:t>
      </w:r>
      <w:r w:rsidRPr="002A7CD1">
        <w:rPr>
          <w:rFonts w:ascii="Arial Narrow" w:hAnsi="Arial Narrow"/>
          <w:sz w:val="20"/>
          <w:szCs w:val="20"/>
          <w:lang w:val="en-US"/>
        </w:rPr>
        <w:t>N</w:t>
      </w:r>
      <w:r w:rsidRPr="002A7CD1">
        <w:rPr>
          <w:rFonts w:ascii="Arial Narrow" w:hAnsi="Arial Narrow"/>
          <w:sz w:val="20"/>
          <w:szCs w:val="20"/>
        </w:rPr>
        <w:t xml:space="preserve">261/2004 където „законодателната власт (…) свързва понятието за „голямо закъснение“ с правото на компенсация“. По този начин Съдът не се намеси в привилегиите на Съюзния законодател, а се ограничи до разясняването на законодателното предпочитание, вече съществуващо в Регламент </w:t>
      </w:r>
      <w:r w:rsidRPr="002A7CD1">
        <w:rPr>
          <w:rFonts w:ascii="Arial Narrow" w:hAnsi="Arial Narrow"/>
          <w:sz w:val="20"/>
          <w:szCs w:val="20"/>
          <w:lang w:val="en-US"/>
        </w:rPr>
        <w:t>N</w:t>
      </w:r>
      <w:r w:rsidRPr="002A7CD1">
        <w:rPr>
          <w:rFonts w:ascii="Arial Narrow" w:hAnsi="Arial Narrow"/>
          <w:sz w:val="20"/>
          <w:szCs w:val="20"/>
        </w:rPr>
        <w:t xml:space="preserve">261/2004, а именно състоящо се в разликата между „закъснение“ (по-малко от три часа) и „голямо закъснение“ (равняващо се на три или повече часа). Докато последното поражда компенсация, първото – не. Виж </w:t>
      </w:r>
      <w:r w:rsidRPr="002A7CD1">
        <w:rPr>
          <w:rFonts w:ascii="Arial Narrow" w:hAnsi="Arial Narrow"/>
          <w:i/>
          <w:sz w:val="20"/>
          <w:szCs w:val="20"/>
          <w:lang w:val="en-US"/>
        </w:rPr>
        <w:t>Sturgeon</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 xml:space="preserve">горе 14, </w:t>
      </w:r>
      <w:proofErr w:type="spellStart"/>
      <w:r w:rsidRPr="002A7CD1">
        <w:rPr>
          <w:rFonts w:ascii="Arial Narrow" w:hAnsi="Arial Narrow"/>
          <w:sz w:val="20"/>
          <w:szCs w:val="20"/>
        </w:rPr>
        <w:t>пар</w:t>
      </w:r>
      <w:proofErr w:type="spellEnd"/>
      <w:r w:rsidRPr="002A7CD1">
        <w:rPr>
          <w:rFonts w:ascii="Arial Narrow" w:hAnsi="Arial Narrow"/>
          <w:sz w:val="20"/>
          <w:szCs w:val="20"/>
        </w:rPr>
        <w:t>. 62.</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20</w:t>
      </w:r>
      <w:r w:rsidRPr="002A7CD1">
        <w:rPr>
          <w:rFonts w:ascii="Arial Narrow" w:hAnsi="Arial Narrow"/>
          <w:sz w:val="20"/>
          <w:szCs w:val="20"/>
        </w:rPr>
        <w:t xml:space="preserve"> </w:t>
      </w:r>
      <w:r w:rsidRPr="002A7CD1">
        <w:rPr>
          <w:rFonts w:ascii="Arial Narrow" w:hAnsi="Arial Narrow"/>
          <w:i/>
          <w:sz w:val="20"/>
          <w:szCs w:val="20"/>
          <w:lang w:val="en-US"/>
        </w:rPr>
        <w:t>Sturgeon</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 xml:space="preserve">горе 14, </w:t>
      </w:r>
      <w:proofErr w:type="spellStart"/>
      <w:r w:rsidRPr="002A7CD1">
        <w:rPr>
          <w:rFonts w:ascii="Arial Narrow" w:hAnsi="Arial Narrow"/>
          <w:sz w:val="20"/>
          <w:szCs w:val="20"/>
        </w:rPr>
        <w:t>пар</w:t>
      </w:r>
      <w:proofErr w:type="spellEnd"/>
      <w:r w:rsidRPr="002A7CD1">
        <w:rPr>
          <w:rFonts w:ascii="Arial Narrow" w:hAnsi="Arial Narrow"/>
          <w:sz w:val="20"/>
          <w:szCs w:val="20"/>
        </w:rPr>
        <w:t>. 67 (извънредните обстоятелства са дефинирани като такива, които „са отвъд реалния контрол на въздушния превозвач“).</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 xml:space="preserve">21 </w:t>
      </w:r>
      <w:r w:rsidRPr="002A7CD1">
        <w:rPr>
          <w:rFonts w:ascii="Arial Narrow" w:hAnsi="Arial Narrow"/>
          <w:sz w:val="20"/>
          <w:szCs w:val="20"/>
        </w:rPr>
        <w:t xml:space="preserve">Дело </w:t>
      </w:r>
      <w:r w:rsidRPr="002A7CD1">
        <w:rPr>
          <w:rFonts w:ascii="Arial Narrow" w:hAnsi="Arial Narrow"/>
          <w:sz w:val="20"/>
          <w:szCs w:val="20"/>
          <w:lang w:val="en-US"/>
        </w:rPr>
        <w:t>C</w:t>
      </w:r>
      <w:r w:rsidRPr="002A7CD1">
        <w:rPr>
          <w:rFonts w:ascii="Arial Narrow" w:hAnsi="Arial Narrow"/>
          <w:sz w:val="20"/>
          <w:szCs w:val="20"/>
        </w:rPr>
        <w:t xml:space="preserve">-281/98 </w:t>
      </w:r>
      <w:proofErr w:type="spellStart"/>
      <w:r w:rsidRPr="002A7CD1">
        <w:rPr>
          <w:rFonts w:ascii="Arial Narrow" w:hAnsi="Arial Narrow"/>
          <w:i/>
          <w:sz w:val="20"/>
          <w:szCs w:val="20"/>
          <w:lang w:val="en-US"/>
        </w:rPr>
        <w:t>Angonese</w:t>
      </w:r>
      <w:proofErr w:type="spellEnd"/>
      <w:r w:rsidRPr="002A7CD1">
        <w:rPr>
          <w:rFonts w:ascii="Arial Narrow" w:hAnsi="Arial Narrow"/>
          <w:sz w:val="20"/>
          <w:szCs w:val="20"/>
        </w:rPr>
        <w:t xml:space="preserve"> [2000]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-4139, </w:t>
      </w:r>
      <w:proofErr w:type="spellStart"/>
      <w:r w:rsidRPr="002A7CD1">
        <w:rPr>
          <w:rFonts w:ascii="Arial Narrow" w:hAnsi="Arial Narrow"/>
          <w:sz w:val="20"/>
          <w:szCs w:val="20"/>
        </w:rPr>
        <w:t>пар</w:t>
      </w:r>
      <w:proofErr w:type="spellEnd"/>
      <w:r w:rsidRPr="002A7CD1">
        <w:rPr>
          <w:rFonts w:ascii="Arial Narrow" w:hAnsi="Arial Narrow"/>
          <w:sz w:val="20"/>
          <w:szCs w:val="20"/>
        </w:rPr>
        <w:t>. 30-36</w:t>
      </w:r>
    </w:p>
    <w:p w:rsidR="007B37A0" w:rsidRPr="002A7CD1" w:rsidRDefault="007B37A0" w:rsidP="002A7CD1">
      <w:pPr>
        <w:spacing w:after="0" w:line="240" w:lineRule="auto"/>
        <w:ind w:right="-360" w:firstLine="540"/>
        <w:rPr>
          <w:rFonts w:ascii="Arial Narrow" w:hAnsi="Arial Narrow"/>
          <w:sz w:val="20"/>
          <w:szCs w:val="20"/>
          <w:lang w:val="de-DE"/>
        </w:rPr>
      </w:pPr>
      <w:r w:rsidRPr="002A7CD1">
        <w:rPr>
          <w:rFonts w:ascii="Arial Narrow" w:hAnsi="Arial Narrow"/>
          <w:sz w:val="20"/>
          <w:szCs w:val="20"/>
          <w:vertAlign w:val="superscript"/>
          <w:lang w:val="de-DE"/>
        </w:rPr>
        <w:t>22</w:t>
      </w:r>
      <w:r w:rsidRPr="002A7CD1">
        <w:rPr>
          <w:rFonts w:ascii="Arial Narrow" w:hAnsi="Arial Narrow"/>
          <w:sz w:val="20"/>
          <w:szCs w:val="20"/>
          <w:lang w:val="de-DE"/>
        </w:rPr>
        <w:t xml:space="preserve"> </w:t>
      </w:r>
      <w:r w:rsidRPr="002A7CD1">
        <w:rPr>
          <w:rFonts w:ascii="Arial Narrow" w:hAnsi="Arial Narrow"/>
          <w:sz w:val="20"/>
          <w:szCs w:val="20"/>
        </w:rPr>
        <w:t>Дело</w:t>
      </w:r>
      <w:r w:rsidRPr="002A7CD1">
        <w:rPr>
          <w:rFonts w:ascii="Arial Narrow" w:hAnsi="Arial Narrow"/>
          <w:sz w:val="20"/>
          <w:szCs w:val="20"/>
          <w:lang w:val="de-DE"/>
        </w:rPr>
        <w:t xml:space="preserve"> 43/75 </w:t>
      </w:r>
      <w:proofErr w:type="spellStart"/>
      <w:r w:rsidRPr="002A7CD1">
        <w:rPr>
          <w:rFonts w:ascii="Arial Narrow" w:hAnsi="Arial Narrow"/>
          <w:i/>
          <w:sz w:val="20"/>
          <w:szCs w:val="20"/>
          <w:lang w:val="de-DE"/>
        </w:rPr>
        <w:t>Defrenne</w:t>
      </w:r>
      <w:proofErr w:type="spellEnd"/>
      <w:r w:rsidRPr="002A7CD1">
        <w:rPr>
          <w:rFonts w:ascii="Arial Narrow" w:hAnsi="Arial Narrow"/>
          <w:sz w:val="20"/>
          <w:szCs w:val="20"/>
          <w:lang w:val="de-DE"/>
        </w:rPr>
        <w:t xml:space="preserve"> [1976] E.C.R. 455.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de-DE"/>
        </w:rPr>
        <w:t>23</w:t>
      </w:r>
      <w:r w:rsidRPr="002A7CD1">
        <w:rPr>
          <w:rFonts w:ascii="Arial Narrow" w:hAnsi="Arial Narrow"/>
          <w:sz w:val="20"/>
          <w:szCs w:val="20"/>
          <w:lang w:val="de-DE"/>
        </w:rPr>
        <w:t xml:space="preserve"> </w:t>
      </w:r>
      <w:r w:rsidRPr="002A7CD1">
        <w:rPr>
          <w:rFonts w:ascii="Arial Narrow" w:hAnsi="Arial Narrow"/>
          <w:sz w:val="20"/>
          <w:szCs w:val="20"/>
        </w:rPr>
        <w:t>Дело</w:t>
      </w:r>
      <w:r w:rsidRPr="002A7CD1">
        <w:rPr>
          <w:rFonts w:ascii="Arial Narrow" w:hAnsi="Arial Narrow"/>
          <w:sz w:val="20"/>
          <w:szCs w:val="20"/>
          <w:lang w:val="de-DE"/>
        </w:rPr>
        <w:t xml:space="preserve"> C-555/07 </w:t>
      </w:r>
      <w:r w:rsidRPr="002A7CD1">
        <w:rPr>
          <w:rFonts w:ascii="Arial Narrow" w:hAnsi="Arial Narrow"/>
          <w:i/>
          <w:sz w:val="20"/>
          <w:szCs w:val="20"/>
          <w:lang w:val="de-DE"/>
        </w:rPr>
        <w:t>K</w:t>
      </w:r>
      <w:r w:rsidRPr="002A7CD1">
        <w:rPr>
          <w:rFonts w:ascii="Arial Narrow" w:hAnsi="Arial Narrow"/>
          <w:i/>
          <w:sz w:val="20"/>
          <w:szCs w:val="20"/>
        </w:rPr>
        <w:t>ü</w:t>
      </w:r>
      <w:r w:rsidRPr="002A7CD1">
        <w:rPr>
          <w:rFonts w:ascii="Arial Narrow" w:hAnsi="Arial Narrow"/>
          <w:i/>
          <w:sz w:val="20"/>
          <w:szCs w:val="20"/>
          <w:lang w:val="de-DE"/>
        </w:rPr>
        <w:t>c</w:t>
      </w:r>
      <w:r w:rsidRPr="002A7CD1">
        <w:rPr>
          <w:rFonts w:ascii="Arial Narrow" w:hAnsi="Arial Narrow"/>
          <w:i/>
          <w:sz w:val="20"/>
          <w:szCs w:val="20"/>
        </w:rPr>
        <w:t>ü</w:t>
      </w:r>
      <w:proofErr w:type="spellStart"/>
      <w:r w:rsidRPr="002A7CD1">
        <w:rPr>
          <w:rFonts w:ascii="Arial Narrow" w:hAnsi="Arial Narrow"/>
          <w:i/>
          <w:sz w:val="20"/>
          <w:szCs w:val="20"/>
          <w:lang w:val="de-DE"/>
        </w:rPr>
        <w:t>kdeveci</w:t>
      </w:r>
      <w:proofErr w:type="spellEnd"/>
      <w:r w:rsidRPr="002A7CD1">
        <w:rPr>
          <w:rFonts w:ascii="Arial Narrow" w:hAnsi="Arial Narrow"/>
          <w:i/>
          <w:sz w:val="20"/>
          <w:szCs w:val="20"/>
          <w:lang w:val="de-DE"/>
        </w:rPr>
        <w:t xml:space="preserve"> </w:t>
      </w:r>
      <w:r w:rsidRPr="002A7CD1">
        <w:rPr>
          <w:rFonts w:ascii="Arial Narrow" w:hAnsi="Arial Narrow"/>
          <w:sz w:val="20"/>
          <w:szCs w:val="20"/>
          <w:lang w:val="de-DE"/>
        </w:rPr>
        <w:t>[2010] E.C.R. I-365.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24</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25.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25</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31.</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26</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46 (цитирайки дело 152/84 </w:t>
      </w:r>
      <w:r w:rsidRPr="002A7CD1">
        <w:rPr>
          <w:rFonts w:ascii="Arial Narrow" w:hAnsi="Arial Narrow"/>
          <w:i/>
          <w:sz w:val="20"/>
          <w:szCs w:val="20"/>
          <w:lang w:val="en-US"/>
        </w:rPr>
        <w:t>Marshall</w:t>
      </w:r>
      <w:r w:rsidRPr="002A7CD1">
        <w:rPr>
          <w:rFonts w:ascii="Arial Narrow" w:hAnsi="Arial Narrow"/>
          <w:sz w:val="20"/>
          <w:szCs w:val="20"/>
        </w:rPr>
        <w:t xml:space="preserve"> [1986]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723,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48; дело </w:t>
      </w:r>
      <w:r w:rsidRPr="002A7CD1">
        <w:rPr>
          <w:rFonts w:ascii="Arial Narrow" w:hAnsi="Arial Narrow"/>
          <w:sz w:val="20"/>
          <w:szCs w:val="20"/>
          <w:lang w:val="en-US"/>
        </w:rPr>
        <w:t>C</w:t>
      </w:r>
      <w:r w:rsidRPr="002A7CD1">
        <w:rPr>
          <w:rFonts w:ascii="Arial Narrow" w:hAnsi="Arial Narrow"/>
          <w:sz w:val="20"/>
          <w:szCs w:val="20"/>
        </w:rPr>
        <w:t xml:space="preserve">-91/92 </w:t>
      </w:r>
      <w:proofErr w:type="spellStart"/>
      <w:r w:rsidRPr="002A7CD1">
        <w:rPr>
          <w:rFonts w:ascii="Arial Narrow" w:hAnsi="Arial Narrow"/>
          <w:i/>
          <w:sz w:val="20"/>
          <w:szCs w:val="20"/>
          <w:lang w:val="en-US"/>
        </w:rPr>
        <w:t>Faccini</w:t>
      </w:r>
      <w:proofErr w:type="spellEnd"/>
      <w:r w:rsidRPr="002A7CD1">
        <w:rPr>
          <w:rFonts w:ascii="Arial Narrow" w:hAnsi="Arial Narrow"/>
          <w:i/>
          <w:sz w:val="20"/>
          <w:szCs w:val="20"/>
        </w:rPr>
        <w:t xml:space="preserve"> </w:t>
      </w:r>
      <w:proofErr w:type="spellStart"/>
      <w:r w:rsidRPr="002A7CD1">
        <w:rPr>
          <w:rFonts w:ascii="Arial Narrow" w:hAnsi="Arial Narrow"/>
          <w:i/>
          <w:sz w:val="20"/>
          <w:szCs w:val="20"/>
          <w:lang w:val="en-US"/>
        </w:rPr>
        <w:t>Dori</w:t>
      </w:r>
      <w:proofErr w:type="spellEnd"/>
      <w:r w:rsidRPr="002A7CD1">
        <w:rPr>
          <w:rFonts w:ascii="Arial Narrow" w:hAnsi="Arial Narrow"/>
          <w:i/>
          <w:sz w:val="20"/>
          <w:szCs w:val="20"/>
        </w:rPr>
        <w:t xml:space="preserve"> </w:t>
      </w:r>
      <w:r w:rsidRPr="002A7CD1">
        <w:rPr>
          <w:rFonts w:ascii="Arial Narrow" w:hAnsi="Arial Narrow"/>
          <w:sz w:val="20"/>
          <w:szCs w:val="20"/>
        </w:rPr>
        <w:t xml:space="preserve">[1994]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-3325,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20; и свързани дела </w:t>
      </w:r>
      <w:r w:rsidRPr="002A7CD1">
        <w:rPr>
          <w:rFonts w:ascii="Arial Narrow" w:hAnsi="Arial Narrow"/>
          <w:sz w:val="20"/>
          <w:szCs w:val="20"/>
          <w:lang w:val="en-US"/>
        </w:rPr>
        <w:t>C</w:t>
      </w:r>
      <w:r w:rsidRPr="002A7CD1">
        <w:rPr>
          <w:rFonts w:ascii="Arial Narrow" w:hAnsi="Arial Narrow"/>
          <w:sz w:val="20"/>
          <w:szCs w:val="20"/>
        </w:rPr>
        <w:t xml:space="preserve">-397/01 и </w:t>
      </w:r>
      <w:r w:rsidRPr="002A7CD1">
        <w:rPr>
          <w:rFonts w:ascii="Arial Narrow" w:hAnsi="Arial Narrow"/>
          <w:sz w:val="20"/>
          <w:szCs w:val="20"/>
          <w:lang w:val="en-US"/>
        </w:rPr>
        <w:t>C</w:t>
      </w:r>
      <w:r w:rsidRPr="002A7CD1">
        <w:rPr>
          <w:rFonts w:ascii="Arial Narrow" w:hAnsi="Arial Narrow"/>
          <w:sz w:val="20"/>
          <w:szCs w:val="20"/>
        </w:rPr>
        <w:t xml:space="preserve">-403/01 </w:t>
      </w:r>
      <w:r w:rsidRPr="002A7CD1">
        <w:rPr>
          <w:rFonts w:ascii="Arial Narrow" w:hAnsi="Arial Narrow"/>
          <w:i/>
          <w:sz w:val="20"/>
          <w:szCs w:val="20"/>
          <w:lang w:val="en-US"/>
        </w:rPr>
        <w:t>Pfeiffer</w:t>
      </w:r>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r w:rsidRPr="002A7CD1">
        <w:rPr>
          <w:rFonts w:ascii="Arial Narrow" w:hAnsi="Arial Narrow"/>
          <w:i/>
          <w:sz w:val="20"/>
          <w:szCs w:val="20"/>
          <w:lang w:val="en-US"/>
        </w:rPr>
        <w:t>Others</w:t>
      </w:r>
      <w:r w:rsidRPr="002A7CD1">
        <w:rPr>
          <w:rFonts w:ascii="Arial Narrow" w:hAnsi="Arial Narrow"/>
          <w:sz w:val="20"/>
          <w:szCs w:val="20"/>
        </w:rPr>
        <w:t xml:space="preserve"> [2004]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-8835, </w:t>
      </w:r>
      <w:proofErr w:type="spellStart"/>
      <w:r w:rsidRPr="002A7CD1">
        <w:rPr>
          <w:rFonts w:ascii="Arial Narrow" w:hAnsi="Arial Narrow"/>
          <w:sz w:val="20"/>
          <w:szCs w:val="20"/>
        </w:rPr>
        <w:t>пар</w:t>
      </w:r>
      <w:proofErr w:type="spellEnd"/>
      <w:r w:rsidRPr="002A7CD1">
        <w:rPr>
          <w:rFonts w:ascii="Arial Narrow" w:hAnsi="Arial Narrow"/>
          <w:sz w:val="20"/>
          <w:szCs w:val="20"/>
        </w:rPr>
        <w:t>. 108).</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27</w:t>
      </w:r>
      <w:r w:rsidRPr="002A7CD1">
        <w:rPr>
          <w:rFonts w:ascii="Arial Narrow" w:hAnsi="Arial Narrow"/>
          <w:sz w:val="20"/>
          <w:szCs w:val="20"/>
        </w:rPr>
        <w:t xml:space="preserve"> </w:t>
      </w:r>
      <w:r w:rsidRPr="002A7CD1">
        <w:rPr>
          <w:rFonts w:ascii="Arial Narrow" w:hAnsi="Arial Narrow"/>
          <w:i/>
          <w:sz w:val="20"/>
          <w:szCs w:val="20"/>
          <w:lang w:val="en-US"/>
        </w:rPr>
        <w:t>K</w:t>
      </w:r>
      <w:r w:rsidRPr="002A7CD1">
        <w:rPr>
          <w:rFonts w:ascii="Arial Narrow" w:hAnsi="Arial Narrow"/>
          <w:i/>
          <w:sz w:val="20"/>
          <w:szCs w:val="20"/>
        </w:rPr>
        <w:t>ü</w:t>
      </w:r>
      <w:r w:rsidRPr="002A7CD1">
        <w:rPr>
          <w:rFonts w:ascii="Arial Narrow" w:hAnsi="Arial Narrow"/>
          <w:i/>
          <w:sz w:val="20"/>
          <w:szCs w:val="20"/>
          <w:lang w:val="en-US"/>
        </w:rPr>
        <w:t>c</w:t>
      </w:r>
      <w:r w:rsidRPr="002A7CD1">
        <w:rPr>
          <w:rFonts w:ascii="Arial Narrow" w:hAnsi="Arial Narrow"/>
          <w:i/>
          <w:sz w:val="20"/>
          <w:szCs w:val="20"/>
        </w:rPr>
        <w:t>ü</w:t>
      </w:r>
      <w:proofErr w:type="spellStart"/>
      <w:r w:rsidRPr="002A7CD1">
        <w:rPr>
          <w:rFonts w:ascii="Arial Narrow" w:hAnsi="Arial Narrow"/>
          <w:i/>
          <w:sz w:val="20"/>
          <w:szCs w:val="20"/>
          <w:lang w:val="en-US"/>
        </w:rPr>
        <w:t>kdeveci</w:t>
      </w:r>
      <w:proofErr w:type="spellEnd"/>
      <w:r w:rsidRPr="002A7CD1">
        <w:rPr>
          <w:rFonts w:ascii="Arial Narrow" w:hAnsi="Arial Narrow"/>
          <w:sz w:val="20"/>
          <w:szCs w:val="20"/>
        </w:rPr>
        <w:t xml:space="preserve">, горе 23,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48 (препращайки към дело 14/83 </w:t>
      </w:r>
      <w:r w:rsidRPr="002A7CD1">
        <w:rPr>
          <w:rFonts w:ascii="Arial Narrow" w:hAnsi="Arial Narrow"/>
          <w:i/>
          <w:sz w:val="20"/>
          <w:szCs w:val="20"/>
          <w:lang w:val="en-US"/>
        </w:rPr>
        <w:t>von</w:t>
      </w:r>
      <w:r w:rsidRPr="002A7CD1">
        <w:rPr>
          <w:rFonts w:ascii="Arial Narrow" w:hAnsi="Arial Narrow"/>
          <w:i/>
          <w:sz w:val="20"/>
          <w:szCs w:val="20"/>
        </w:rPr>
        <w:t xml:space="preserve"> </w:t>
      </w:r>
      <w:r w:rsidRPr="002A7CD1">
        <w:rPr>
          <w:rFonts w:ascii="Arial Narrow" w:hAnsi="Arial Narrow"/>
          <w:i/>
          <w:sz w:val="20"/>
          <w:szCs w:val="20"/>
          <w:lang w:val="en-US"/>
        </w:rPr>
        <w:t>Colson</w:t>
      </w:r>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proofErr w:type="spellStart"/>
      <w:r w:rsidRPr="002A7CD1">
        <w:rPr>
          <w:rFonts w:ascii="Arial Narrow" w:hAnsi="Arial Narrow"/>
          <w:i/>
          <w:sz w:val="20"/>
          <w:szCs w:val="20"/>
          <w:lang w:val="en-US"/>
        </w:rPr>
        <w:t>Kamann</w:t>
      </w:r>
      <w:proofErr w:type="spellEnd"/>
      <w:r w:rsidRPr="002A7CD1">
        <w:rPr>
          <w:rFonts w:ascii="Arial Narrow" w:hAnsi="Arial Narrow"/>
          <w:sz w:val="20"/>
          <w:szCs w:val="20"/>
        </w:rPr>
        <w:t xml:space="preserve"> [1984]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1891,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26; дело </w:t>
      </w:r>
      <w:r w:rsidRPr="002A7CD1">
        <w:rPr>
          <w:rFonts w:ascii="Arial Narrow" w:hAnsi="Arial Narrow"/>
          <w:sz w:val="20"/>
          <w:szCs w:val="20"/>
          <w:lang w:val="en-US"/>
        </w:rPr>
        <w:t>C</w:t>
      </w:r>
      <w:r w:rsidRPr="002A7CD1">
        <w:rPr>
          <w:rFonts w:ascii="Arial Narrow" w:hAnsi="Arial Narrow"/>
          <w:sz w:val="20"/>
          <w:szCs w:val="20"/>
        </w:rPr>
        <w:t xml:space="preserve">-106/89 </w:t>
      </w:r>
      <w:proofErr w:type="spellStart"/>
      <w:r w:rsidRPr="002A7CD1">
        <w:rPr>
          <w:rFonts w:ascii="Arial Narrow" w:hAnsi="Arial Narrow"/>
          <w:i/>
          <w:sz w:val="20"/>
          <w:szCs w:val="20"/>
          <w:lang w:val="en-US"/>
        </w:rPr>
        <w:t>Marleasing</w:t>
      </w:r>
      <w:proofErr w:type="spellEnd"/>
      <w:r w:rsidRPr="002A7CD1">
        <w:rPr>
          <w:rFonts w:ascii="Arial Narrow" w:hAnsi="Arial Narrow"/>
          <w:sz w:val="20"/>
          <w:szCs w:val="20"/>
        </w:rPr>
        <w:t xml:space="preserve"> [1900]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-4135,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8; </w:t>
      </w:r>
      <w:proofErr w:type="spellStart"/>
      <w:r w:rsidRPr="002A7CD1">
        <w:rPr>
          <w:rFonts w:ascii="Arial Narrow" w:hAnsi="Arial Narrow"/>
          <w:i/>
          <w:sz w:val="20"/>
          <w:szCs w:val="20"/>
          <w:lang w:val="en-US"/>
        </w:rPr>
        <w:t>Faccini</w:t>
      </w:r>
      <w:proofErr w:type="spellEnd"/>
      <w:r w:rsidRPr="002A7CD1">
        <w:rPr>
          <w:rFonts w:ascii="Arial Narrow" w:hAnsi="Arial Narrow"/>
          <w:i/>
          <w:sz w:val="20"/>
          <w:szCs w:val="20"/>
        </w:rPr>
        <w:t xml:space="preserve"> </w:t>
      </w:r>
      <w:proofErr w:type="spellStart"/>
      <w:r w:rsidRPr="002A7CD1">
        <w:rPr>
          <w:rFonts w:ascii="Arial Narrow" w:hAnsi="Arial Narrow"/>
          <w:i/>
          <w:sz w:val="20"/>
          <w:szCs w:val="20"/>
          <w:lang w:val="en-US"/>
        </w:rPr>
        <w:t>Dori</w:t>
      </w:r>
      <w:proofErr w:type="spellEnd"/>
      <w:r w:rsidRPr="002A7CD1">
        <w:rPr>
          <w:rFonts w:ascii="Arial Narrow" w:hAnsi="Arial Narrow"/>
          <w:sz w:val="20"/>
          <w:szCs w:val="20"/>
        </w:rPr>
        <w:t xml:space="preserve">, горе 26,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26; дело </w:t>
      </w:r>
      <w:r w:rsidRPr="002A7CD1">
        <w:rPr>
          <w:rFonts w:ascii="Arial Narrow" w:hAnsi="Arial Narrow"/>
          <w:sz w:val="20"/>
          <w:szCs w:val="20"/>
          <w:lang w:val="en-US"/>
        </w:rPr>
        <w:t>C</w:t>
      </w:r>
      <w:r w:rsidRPr="002A7CD1">
        <w:rPr>
          <w:rFonts w:ascii="Arial Narrow" w:hAnsi="Arial Narrow"/>
          <w:sz w:val="20"/>
          <w:szCs w:val="20"/>
        </w:rPr>
        <w:t xml:space="preserve">-129/96 </w:t>
      </w:r>
      <w:r w:rsidRPr="002A7CD1">
        <w:rPr>
          <w:rFonts w:ascii="Arial Narrow" w:hAnsi="Arial Narrow"/>
          <w:i/>
          <w:sz w:val="20"/>
          <w:szCs w:val="20"/>
          <w:lang w:val="en-US"/>
        </w:rPr>
        <w:t>Inter</w:t>
      </w:r>
      <w:r w:rsidRPr="002A7CD1">
        <w:rPr>
          <w:rFonts w:ascii="Arial Narrow" w:hAnsi="Arial Narrow"/>
          <w:i/>
          <w:sz w:val="20"/>
          <w:szCs w:val="20"/>
        </w:rPr>
        <w:t>-</w:t>
      </w:r>
      <w:proofErr w:type="spellStart"/>
      <w:r w:rsidRPr="002A7CD1">
        <w:rPr>
          <w:rFonts w:ascii="Arial Narrow" w:hAnsi="Arial Narrow"/>
          <w:i/>
          <w:sz w:val="20"/>
          <w:szCs w:val="20"/>
          <w:lang w:val="en-US"/>
        </w:rPr>
        <w:t>Environnement</w:t>
      </w:r>
      <w:proofErr w:type="spellEnd"/>
      <w:r w:rsidRPr="002A7CD1">
        <w:rPr>
          <w:rFonts w:ascii="Arial Narrow" w:hAnsi="Arial Narrow"/>
          <w:i/>
          <w:sz w:val="20"/>
          <w:szCs w:val="20"/>
        </w:rPr>
        <w:t xml:space="preserve"> </w:t>
      </w:r>
      <w:proofErr w:type="spellStart"/>
      <w:r w:rsidRPr="002A7CD1">
        <w:rPr>
          <w:rFonts w:ascii="Arial Narrow" w:hAnsi="Arial Narrow"/>
          <w:i/>
          <w:sz w:val="20"/>
          <w:szCs w:val="20"/>
          <w:lang w:val="en-US"/>
        </w:rPr>
        <w:t>Wallonie</w:t>
      </w:r>
      <w:proofErr w:type="spellEnd"/>
      <w:r w:rsidRPr="002A7CD1">
        <w:rPr>
          <w:rFonts w:ascii="Arial Narrow" w:hAnsi="Arial Narrow"/>
          <w:sz w:val="20"/>
          <w:szCs w:val="20"/>
        </w:rPr>
        <w:t xml:space="preserve"> [1997]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-7411,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40; </w:t>
      </w:r>
      <w:r w:rsidRPr="002A7CD1">
        <w:rPr>
          <w:rFonts w:ascii="Arial Narrow" w:hAnsi="Arial Narrow"/>
          <w:i/>
          <w:sz w:val="20"/>
          <w:szCs w:val="20"/>
          <w:lang w:val="en-US"/>
        </w:rPr>
        <w:t>Pfeiffer</w:t>
      </w:r>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r w:rsidRPr="002A7CD1">
        <w:rPr>
          <w:rFonts w:ascii="Arial Narrow" w:hAnsi="Arial Narrow"/>
          <w:i/>
          <w:sz w:val="20"/>
          <w:szCs w:val="20"/>
          <w:lang w:val="en-US"/>
        </w:rPr>
        <w:t>Others</w:t>
      </w:r>
      <w:r w:rsidRPr="002A7CD1">
        <w:rPr>
          <w:rFonts w:ascii="Arial Narrow" w:hAnsi="Arial Narrow"/>
          <w:sz w:val="20"/>
          <w:szCs w:val="20"/>
        </w:rPr>
        <w:t xml:space="preserve">, горе 26,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110; и свързани дела </w:t>
      </w:r>
      <w:r w:rsidRPr="002A7CD1">
        <w:rPr>
          <w:rFonts w:ascii="Arial Narrow" w:hAnsi="Arial Narrow"/>
          <w:sz w:val="20"/>
          <w:szCs w:val="20"/>
          <w:lang w:val="en-US"/>
        </w:rPr>
        <w:t>C</w:t>
      </w:r>
      <w:r w:rsidRPr="002A7CD1">
        <w:rPr>
          <w:rFonts w:ascii="Arial Narrow" w:hAnsi="Arial Narrow"/>
          <w:sz w:val="20"/>
          <w:szCs w:val="20"/>
        </w:rPr>
        <w:t xml:space="preserve">-378/07 и </w:t>
      </w:r>
      <w:r w:rsidRPr="002A7CD1">
        <w:rPr>
          <w:rFonts w:ascii="Arial Narrow" w:hAnsi="Arial Narrow"/>
          <w:sz w:val="20"/>
          <w:szCs w:val="20"/>
          <w:lang w:val="en-US"/>
        </w:rPr>
        <w:t>C</w:t>
      </w:r>
      <w:r w:rsidRPr="002A7CD1">
        <w:rPr>
          <w:rFonts w:ascii="Arial Narrow" w:hAnsi="Arial Narrow"/>
          <w:sz w:val="20"/>
          <w:szCs w:val="20"/>
        </w:rPr>
        <w:t xml:space="preserve">-380/07 </w:t>
      </w:r>
      <w:proofErr w:type="spellStart"/>
      <w:r w:rsidRPr="002A7CD1">
        <w:rPr>
          <w:rFonts w:ascii="Arial Narrow" w:hAnsi="Arial Narrow"/>
          <w:i/>
          <w:sz w:val="20"/>
          <w:szCs w:val="20"/>
          <w:lang w:val="en-US"/>
        </w:rPr>
        <w:t>Angelidaki</w:t>
      </w:r>
      <w:proofErr w:type="spellEnd"/>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r w:rsidRPr="002A7CD1">
        <w:rPr>
          <w:rFonts w:ascii="Arial Narrow" w:hAnsi="Arial Narrow"/>
          <w:i/>
          <w:sz w:val="20"/>
          <w:szCs w:val="20"/>
          <w:lang w:val="en-US"/>
        </w:rPr>
        <w:t>Others</w:t>
      </w:r>
      <w:r w:rsidRPr="002A7CD1">
        <w:rPr>
          <w:rFonts w:ascii="Arial Narrow" w:hAnsi="Arial Narrow"/>
          <w:sz w:val="20"/>
          <w:szCs w:val="20"/>
        </w:rPr>
        <w:t xml:space="preserve"> [2009]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-3071, </w:t>
      </w:r>
      <w:proofErr w:type="spellStart"/>
      <w:r w:rsidRPr="002A7CD1">
        <w:rPr>
          <w:rFonts w:ascii="Arial Narrow" w:hAnsi="Arial Narrow"/>
          <w:sz w:val="20"/>
          <w:szCs w:val="20"/>
        </w:rPr>
        <w:t>пар</w:t>
      </w:r>
      <w:proofErr w:type="spellEnd"/>
      <w:r w:rsidRPr="002A7CD1">
        <w:rPr>
          <w:rFonts w:ascii="Arial Narrow" w:hAnsi="Arial Narrow"/>
          <w:sz w:val="20"/>
          <w:szCs w:val="20"/>
        </w:rPr>
        <w:t>. 106.)</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28</w:t>
      </w:r>
      <w:r w:rsidRPr="002A7CD1">
        <w:rPr>
          <w:rFonts w:ascii="Arial Narrow" w:hAnsi="Arial Narrow"/>
          <w:sz w:val="20"/>
          <w:szCs w:val="20"/>
        </w:rPr>
        <w:t xml:space="preserve"> </w:t>
      </w:r>
      <w:r w:rsidRPr="002A7CD1">
        <w:rPr>
          <w:rFonts w:ascii="Arial Narrow" w:hAnsi="Arial Narrow"/>
          <w:i/>
          <w:sz w:val="20"/>
          <w:szCs w:val="20"/>
          <w:lang w:val="en-US"/>
        </w:rPr>
        <w:t>K</w:t>
      </w:r>
      <w:r w:rsidRPr="002A7CD1">
        <w:rPr>
          <w:rFonts w:ascii="Arial Narrow" w:hAnsi="Arial Narrow"/>
          <w:i/>
          <w:sz w:val="20"/>
          <w:szCs w:val="20"/>
        </w:rPr>
        <w:t>ü</w:t>
      </w:r>
      <w:r w:rsidRPr="002A7CD1">
        <w:rPr>
          <w:rFonts w:ascii="Arial Narrow" w:hAnsi="Arial Narrow"/>
          <w:i/>
          <w:sz w:val="20"/>
          <w:szCs w:val="20"/>
          <w:lang w:val="en-US"/>
        </w:rPr>
        <w:t>c</w:t>
      </w:r>
      <w:r w:rsidRPr="002A7CD1">
        <w:rPr>
          <w:rFonts w:ascii="Arial Narrow" w:hAnsi="Arial Narrow"/>
          <w:i/>
          <w:sz w:val="20"/>
          <w:szCs w:val="20"/>
        </w:rPr>
        <w:t>ü</w:t>
      </w:r>
      <w:proofErr w:type="spellStart"/>
      <w:r w:rsidRPr="002A7CD1">
        <w:rPr>
          <w:rFonts w:ascii="Arial Narrow" w:hAnsi="Arial Narrow"/>
          <w:i/>
          <w:sz w:val="20"/>
          <w:szCs w:val="20"/>
          <w:lang w:val="en-US"/>
        </w:rPr>
        <w:t>kdeveci</w:t>
      </w:r>
      <w:proofErr w:type="spellEnd"/>
      <w:r w:rsidRPr="002A7CD1">
        <w:rPr>
          <w:rFonts w:ascii="Arial Narrow" w:hAnsi="Arial Narrow"/>
          <w:sz w:val="20"/>
          <w:szCs w:val="20"/>
        </w:rPr>
        <w:t xml:space="preserve">, горе 23, </w:t>
      </w:r>
      <w:proofErr w:type="spellStart"/>
      <w:r w:rsidRPr="002A7CD1">
        <w:rPr>
          <w:rFonts w:ascii="Arial Narrow" w:hAnsi="Arial Narrow"/>
          <w:sz w:val="20"/>
          <w:szCs w:val="20"/>
        </w:rPr>
        <w:t>пар</w:t>
      </w:r>
      <w:proofErr w:type="spellEnd"/>
      <w:r w:rsidRPr="002A7CD1">
        <w:rPr>
          <w:rFonts w:ascii="Arial Narrow" w:hAnsi="Arial Narrow"/>
          <w:sz w:val="20"/>
          <w:szCs w:val="20"/>
        </w:rPr>
        <w:t>. 49.</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29</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rPr>
        <w:t xml:space="preserve">-144/04 </w:t>
      </w:r>
      <w:proofErr w:type="spellStart"/>
      <w:r w:rsidRPr="002A7CD1">
        <w:rPr>
          <w:rFonts w:ascii="Arial Narrow" w:hAnsi="Arial Narrow"/>
          <w:i/>
          <w:sz w:val="20"/>
          <w:szCs w:val="20"/>
          <w:lang w:val="en-US"/>
        </w:rPr>
        <w:t>Mangold</w:t>
      </w:r>
      <w:proofErr w:type="spellEnd"/>
      <w:r w:rsidRPr="002A7CD1">
        <w:rPr>
          <w:rFonts w:ascii="Arial Narrow" w:hAnsi="Arial Narrow"/>
          <w:sz w:val="20"/>
          <w:szCs w:val="20"/>
        </w:rPr>
        <w:t xml:space="preserve"> [2005]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-9981, </w:t>
      </w:r>
      <w:proofErr w:type="spellStart"/>
      <w:r w:rsidRPr="002A7CD1">
        <w:rPr>
          <w:rFonts w:ascii="Arial Narrow" w:hAnsi="Arial Narrow"/>
          <w:sz w:val="20"/>
          <w:szCs w:val="20"/>
        </w:rPr>
        <w:t>пар</w:t>
      </w:r>
      <w:proofErr w:type="spellEnd"/>
      <w:r w:rsidRPr="002A7CD1">
        <w:rPr>
          <w:rFonts w:ascii="Arial Narrow" w:hAnsi="Arial Narrow"/>
          <w:sz w:val="20"/>
          <w:szCs w:val="20"/>
        </w:rPr>
        <w:t>. 74 до 76.</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lastRenderedPageBreak/>
        <w:t>30</w:t>
      </w:r>
      <w:r w:rsidRPr="002A7CD1">
        <w:rPr>
          <w:rFonts w:ascii="Arial Narrow" w:hAnsi="Arial Narrow"/>
          <w:sz w:val="20"/>
          <w:szCs w:val="20"/>
        </w:rPr>
        <w:t xml:space="preserve"> </w:t>
      </w:r>
      <w:r w:rsidRPr="002A7CD1">
        <w:rPr>
          <w:rFonts w:ascii="Arial Narrow" w:hAnsi="Arial Narrow"/>
          <w:i/>
          <w:sz w:val="20"/>
          <w:szCs w:val="20"/>
          <w:lang w:val="en-US"/>
        </w:rPr>
        <w:t>K</w:t>
      </w:r>
      <w:r w:rsidRPr="002A7CD1">
        <w:rPr>
          <w:rFonts w:ascii="Arial Narrow" w:hAnsi="Arial Narrow"/>
          <w:i/>
          <w:sz w:val="20"/>
          <w:szCs w:val="20"/>
        </w:rPr>
        <w:t>ü</w:t>
      </w:r>
      <w:r w:rsidRPr="002A7CD1">
        <w:rPr>
          <w:rFonts w:ascii="Arial Narrow" w:hAnsi="Arial Narrow"/>
          <w:i/>
          <w:sz w:val="20"/>
          <w:szCs w:val="20"/>
          <w:lang w:val="en-US"/>
        </w:rPr>
        <w:t>c</w:t>
      </w:r>
      <w:r w:rsidRPr="002A7CD1">
        <w:rPr>
          <w:rFonts w:ascii="Arial Narrow" w:hAnsi="Arial Narrow"/>
          <w:i/>
          <w:sz w:val="20"/>
          <w:szCs w:val="20"/>
        </w:rPr>
        <w:t>ü</w:t>
      </w:r>
      <w:proofErr w:type="spellStart"/>
      <w:r w:rsidRPr="002A7CD1">
        <w:rPr>
          <w:rFonts w:ascii="Arial Narrow" w:hAnsi="Arial Narrow"/>
          <w:i/>
          <w:sz w:val="20"/>
          <w:szCs w:val="20"/>
          <w:lang w:val="en-US"/>
        </w:rPr>
        <w:t>kdeveci</w:t>
      </w:r>
      <w:proofErr w:type="spellEnd"/>
      <w:r w:rsidRPr="002A7CD1">
        <w:rPr>
          <w:rFonts w:ascii="Arial Narrow" w:hAnsi="Arial Narrow"/>
          <w:sz w:val="20"/>
          <w:szCs w:val="20"/>
        </w:rPr>
        <w:t xml:space="preserve">, горе 23, </w:t>
      </w:r>
      <w:proofErr w:type="spellStart"/>
      <w:r w:rsidRPr="002A7CD1">
        <w:rPr>
          <w:rFonts w:ascii="Arial Narrow" w:hAnsi="Arial Narrow"/>
          <w:sz w:val="20"/>
          <w:szCs w:val="20"/>
        </w:rPr>
        <w:t>пар</w:t>
      </w:r>
      <w:proofErr w:type="spellEnd"/>
      <w:r w:rsidRPr="002A7CD1">
        <w:rPr>
          <w:rFonts w:ascii="Arial Narrow" w:hAnsi="Arial Narrow"/>
          <w:sz w:val="20"/>
          <w:szCs w:val="20"/>
        </w:rPr>
        <w:t>. 50.</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31</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51.</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32</w:t>
      </w:r>
      <w:r w:rsidRPr="002A7CD1">
        <w:rPr>
          <w:rFonts w:ascii="Arial Narrow" w:hAnsi="Arial Narrow"/>
          <w:sz w:val="20"/>
          <w:szCs w:val="20"/>
          <w:lang w:val="ru-RU"/>
        </w:rPr>
        <w:t xml:space="preserve"> </w:t>
      </w:r>
      <w:r w:rsidRPr="002A7CD1">
        <w:rPr>
          <w:rFonts w:ascii="Arial Narrow" w:hAnsi="Arial Narrow"/>
          <w:sz w:val="20"/>
          <w:szCs w:val="20"/>
        </w:rPr>
        <w:t xml:space="preserve">Заключение на генералния адвокат </w:t>
      </w:r>
      <w:proofErr w:type="spellStart"/>
      <w:r w:rsidRPr="002A7CD1">
        <w:rPr>
          <w:rFonts w:ascii="Arial Narrow" w:hAnsi="Arial Narrow"/>
          <w:sz w:val="20"/>
          <w:szCs w:val="20"/>
        </w:rPr>
        <w:t>Руис-Харабо</w:t>
      </w:r>
      <w:proofErr w:type="spellEnd"/>
      <w:r w:rsidRPr="002A7CD1">
        <w:rPr>
          <w:rFonts w:ascii="Arial Narrow" w:hAnsi="Arial Narrow"/>
          <w:sz w:val="20"/>
          <w:szCs w:val="20"/>
        </w:rPr>
        <w:t xml:space="preserve"> </w:t>
      </w:r>
      <w:proofErr w:type="spellStart"/>
      <w:r w:rsidRPr="002A7CD1">
        <w:rPr>
          <w:rFonts w:ascii="Arial Narrow" w:hAnsi="Arial Narrow"/>
          <w:sz w:val="20"/>
          <w:szCs w:val="20"/>
        </w:rPr>
        <w:t>Коломер</w:t>
      </w:r>
      <w:proofErr w:type="spellEnd"/>
      <w:r w:rsidRPr="002A7CD1">
        <w:rPr>
          <w:rFonts w:ascii="Arial Narrow" w:hAnsi="Arial Narrow"/>
          <w:sz w:val="20"/>
          <w:szCs w:val="20"/>
        </w:rPr>
        <w:t xml:space="preserve"> от 06.05.2004г. по делото </w:t>
      </w:r>
      <w:r w:rsidRPr="002A7CD1">
        <w:rPr>
          <w:rFonts w:ascii="Arial Narrow" w:hAnsi="Arial Narrow"/>
          <w:i/>
          <w:sz w:val="20"/>
          <w:szCs w:val="20"/>
          <w:lang w:val="en-US"/>
        </w:rPr>
        <w:t>Pfeiffer</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горе 26.</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33</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Руис-Харабо</w:t>
      </w:r>
      <w:proofErr w:type="spellEnd"/>
      <w:r w:rsidRPr="002A7CD1">
        <w:rPr>
          <w:rFonts w:ascii="Arial Narrow" w:hAnsi="Arial Narrow"/>
          <w:sz w:val="20"/>
          <w:szCs w:val="20"/>
        </w:rPr>
        <w:t xml:space="preserve"> </w:t>
      </w:r>
      <w:proofErr w:type="spellStart"/>
      <w:r w:rsidRPr="002A7CD1">
        <w:rPr>
          <w:rFonts w:ascii="Arial Narrow" w:hAnsi="Arial Narrow"/>
          <w:sz w:val="20"/>
          <w:szCs w:val="20"/>
        </w:rPr>
        <w:t>Коломер</w:t>
      </w:r>
      <w:proofErr w:type="spellEnd"/>
      <w:r w:rsidRPr="002A7CD1">
        <w:rPr>
          <w:rFonts w:ascii="Arial Narrow" w:hAnsi="Arial Narrow"/>
          <w:sz w:val="20"/>
          <w:szCs w:val="20"/>
        </w:rPr>
        <w:t xml:space="preserve"> в свързани дела </w:t>
      </w:r>
      <w:r w:rsidRPr="002A7CD1">
        <w:rPr>
          <w:rFonts w:ascii="Arial Narrow" w:hAnsi="Arial Narrow"/>
          <w:sz w:val="20"/>
          <w:szCs w:val="20"/>
          <w:lang w:val="en-US"/>
        </w:rPr>
        <w:t>C</w:t>
      </w:r>
      <w:r w:rsidRPr="002A7CD1">
        <w:rPr>
          <w:rFonts w:ascii="Arial Narrow" w:hAnsi="Arial Narrow"/>
          <w:sz w:val="20"/>
          <w:szCs w:val="20"/>
          <w:lang w:val="ru-RU"/>
        </w:rPr>
        <w:t>-55</w:t>
      </w:r>
      <w:r w:rsidRPr="002A7CD1">
        <w:rPr>
          <w:rFonts w:ascii="Arial Narrow" w:hAnsi="Arial Narrow"/>
          <w:sz w:val="20"/>
          <w:szCs w:val="20"/>
        </w:rPr>
        <w:t xml:space="preserve"> и 56/07 </w:t>
      </w:r>
      <w:proofErr w:type="spellStart"/>
      <w:r w:rsidRPr="002A7CD1">
        <w:rPr>
          <w:rFonts w:ascii="Arial Narrow" w:hAnsi="Arial Narrow"/>
          <w:i/>
          <w:sz w:val="20"/>
          <w:szCs w:val="20"/>
          <w:lang w:val="en-US"/>
        </w:rPr>
        <w:t>Michaeler</w:t>
      </w:r>
      <w:proofErr w:type="spellEnd"/>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[2008]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-3135, </w:t>
      </w:r>
      <w:proofErr w:type="spellStart"/>
      <w:r w:rsidRPr="002A7CD1">
        <w:rPr>
          <w:rFonts w:ascii="Arial Narrow" w:hAnsi="Arial Narrow"/>
          <w:sz w:val="20"/>
          <w:szCs w:val="20"/>
        </w:rPr>
        <w:t>пар</w:t>
      </w:r>
      <w:proofErr w:type="spellEnd"/>
      <w:r w:rsidRPr="002A7CD1">
        <w:rPr>
          <w:rFonts w:ascii="Arial Narrow" w:hAnsi="Arial Narrow"/>
          <w:sz w:val="20"/>
          <w:szCs w:val="20"/>
        </w:rPr>
        <w:t>. 20-22.</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34</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Кокот</w:t>
      </w:r>
      <w:proofErr w:type="spellEnd"/>
      <w:r w:rsidRPr="002A7CD1">
        <w:rPr>
          <w:rFonts w:ascii="Arial Narrow" w:hAnsi="Arial Narrow"/>
          <w:sz w:val="20"/>
          <w:szCs w:val="20"/>
        </w:rPr>
        <w:t xml:space="preserve"> по дело </w:t>
      </w:r>
      <w:r w:rsidRPr="002A7CD1">
        <w:rPr>
          <w:rFonts w:ascii="Arial Narrow" w:hAnsi="Arial Narrow"/>
          <w:sz w:val="20"/>
          <w:szCs w:val="20"/>
          <w:lang w:val="en-US"/>
        </w:rPr>
        <w:t>C</w:t>
      </w:r>
      <w:r w:rsidRPr="002A7CD1">
        <w:rPr>
          <w:rFonts w:ascii="Arial Narrow" w:hAnsi="Arial Narrow"/>
          <w:sz w:val="20"/>
          <w:szCs w:val="20"/>
          <w:lang w:val="ru-RU"/>
        </w:rPr>
        <w:t xml:space="preserve">-321/05 </w:t>
      </w:r>
      <w:proofErr w:type="spellStart"/>
      <w:r w:rsidRPr="002A7CD1">
        <w:rPr>
          <w:rFonts w:ascii="Arial Narrow" w:hAnsi="Arial Narrow"/>
          <w:i/>
          <w:sz w:val="20"/>
          <w:szCs w:val="20"/>
          <w:lang w:val="en-US"/>
        </w:rPr>
        <w:t>Kofoed</w:t>
      </w:r>
      <w:proofErr w:type="spellEnd"/>
      <w:r w:rsidRPr="002A7CD1">
        <w:rPr>
          <w:rFonts w:ascii="Arial Narrow" w:hAnsi="Arial Narrow"/>
          <w:sz w:val="20"/>
          <w:szCs w:val="20"/>
          <w:lang w:val="ru-RU"/>
        </w:rPr>
        <w:t xml:space="preserve"> [2007]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-5795, </w:t>
      </w:r>
      <w:proofErr w:type="spellStart"/>
      <w:r w:rsidRPr="002A7CD1">
        <w:rPr>
          <w:rFonts w:ascii="Arial Narrow" w:hAnsi="Arial Narrow"/>
          <w:sz w:val="20"/>
          <w:szCs w:val="20"/>
        </w:rPr>
        <w:t>пар</w:t>
      </w:r>
      <w:proofErr w:type="spellEnd"/>
      <w:r w:rsidRPr="002A7CD1">
        <w:rPr>
          <w:rFonts w:ascii="Arial Narrow" w:hAnsi="Arial Narrow"/>
          <w:sz w:val="20"/>
          <w:szCs w:val="20"/>
        </w:rPr>
        <w:t>. 67.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35</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Мазак</w:t>
      </w:r>
      <w:proofErr w:type="spellEnd"/>
      <w:r w:rsidRPr="002A7CD1">
        <w:rPr>
          <w:rFonts w:ascii="Arial Narrow" w:hAnsi="Arial Narrow"/>
          <w:sz w:val="20"/>
          <w:szCs w:val="20"/>
        </w:rPr>
        <w:t xml:space="preserve"> по дело </w:t>
      </w:r>
      <w:r w:rsidRPr="002A7CD1">
        <w:rPr>
          <w:rFonts w:ascii="Arial Narrow" w:hAnsi="Arial Narrow"/>
          <w:sz w:val="20"/>
          <w:szCs w:val="20"/>
          <w:lang w:val="en-US"/>
        </w:rPr>
        <w:t>C</w:t>
      </w:r>
      <w:r w:rsidRPr="002A7CD1">
        <w:rPr>
          <w:rFonts w:ascii="Arial Narrow" w:hAnsi="Arial Narrow"/>
          <w:sz w:val="20"/>
          <w:szCs w:val="20"/>
          <w:lang w:val="ru-RU"/>
        </w:rPr>
        <w:t xml:space="preserve">-411/05 </w:t>
      </w:r>
      <w:r w:rsidRPr="002A7CD1">
        <w:rPr>
          <w:rFonts w:ascii="Arial Narrow" w:hAnsi="Arial Narrow"/>
          <w:i/>
          <w:sz w:val="20"/>
          <w:szCs w:val="20"/>
          <w:lang w:val="en-US"/>
        </w:rPr>
        <w:t>Palacios</w:t>
      </w:r>
      <w:r w:rsidRPr="002A7CD1">
        <w:rPr>
          <w:rFonts w:ascii="Arial Narrow" w:hAnsi="Arial Narrow"/>
          <w:i/>
          <w:sz w:val="20"/>
          <w:szCs w:val="20"/>
          <w:lang w:val="ru-RU"/>
        </w:rPr>
        <w:t xml:space="preserve"> </w:t>
      </w:r>
      <w:r w:rsidRPr="002A7CD1">
        <w:rPr>
          <w:rFonts w:ascii="Arial Narrow" w:hAnsi="Arial Narrow"/>
          <w:i/>
          <w:sz w:val="20"/>
          <w:szCs w:val="20"/>
          <w:lang w:val="en-US"/>
        </w:rPr>
        <w:t>de</w:t>
      </w:r>
      <w:r w:rsidRPr="002A7CD1">
        <w:rPr>
          <w:rFonts w:ascii="Arial Narrow" w:hAnsi="Arial Narrow"/>
          <w:i/>
          <w:sz w:val="20"/>
          <w:szCs w:val="20"/>
          <w:lang w:val="ru-RU"/>
        </w:rPr>
        <w:t xml:space="preserve"> </w:t>
      </w:r>
      <w:r w:rsidRPr="002A7CD1">
        <w:rPr>
          <w:rFonts w:ascii="Arial Narrow" w:hAnsi="Arial Narrow"/>
          <w:i/>
          <w:sz w:val="20"/>
          <w:szCs w:val="20"/>
          <w:lang w:val="en-US"/>
        </w:rPr>
        <w:t>la</w:t>
      </w:r>
      <w:r w:rsidRPr="002A7CD1">
        <w:rPr>
          <w:rFonts w:ascii="Arial Narrow" w:hAnsi="Arial Narrow"/>
          <w:i/>
          <w:sz w:val="20"/>
          <w:szCs w:val="20"/>
          <w:lang w:val="ru-RU"/>
        </w:rPr>
        <w:t xml:space="preserve"> </w:t>
      </w:r>
      <w:r w:rsidRPr="002A7CD1">
        <w:rPr>
          <w:rFonts w:ascii="Arial Narrow" w:hAnsi="Arial Narrow"/>
          <w:i/>
          <w:sz w:val="20"/>
          <w:szCs w:val="20"/>
          <w:lang w:val="en-US"/>
        </w:rPr>
        <w:t>Villa</w:t>
      </w:r>
      <w:r w:rsidRPr="002A7CD1">
        <w:rPr>
          <w:rFonts w:ascii="Arial Narrow" w:hAnsi="Arial Narrow"/>
          <w:sz w:val="20"/>
          <w:szCs w:val="20"/>
          <w:lang w:val="ru-RU"/>
        </w:rPr>
        <w:t xml:space="preserve"> [2007]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-8531,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133-138.</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36</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138 (чл. 19 ДФЕС прокламира, че Съветът „може да предприема подходящи действия, за да се противопостави на дискриминацията“. От това следва, че на Съвета е оставена преценката дали такова действие изисква приемането на регламент или директива). Същото твърдение е било разгърнато от Съда с цел да се отрече хоризонталният директен ефект на директивите в делото </w:t>
      </w:r>
      <w:proofErr w:type="spellStart"/>
      <w:r w:rsidRPr="002A7CD1">
        <w:rPr>
          <w:rFonts w:ascii="Arial Narrow" w:hAnsi="Arial Narrow"/>
          <w:i/>
          <w:sz w:val="20"/>
          <w:szCs w:val="20"/>
          <w:lang w:val="en-US"/>
        </w:rPr>
        <w:t>Faccini</w:t>
      </w:r>
      <w:proofErr w:type="spellEnd"/>
      <w:r w:rsidRPr="002A7CD1">
        <w:rPr>
          <w:rFonts w:ascii="Arial Narrow" w:hAnsi="Arial Narrow"/>
          <w:i/>
          <w:sz w:val="20"/>
          <w:szCs w:val="20"/>
          <w:lang w:val="ru-RU"/>
        </w:rPr>
        <w:t xml:space="preserve"> </w:t>
      </w:r>
      <w:proofErr w:type="spellStart"/>
      <w:r w:rsidRPr="002A7CD1">
        <w:rPr>
          <w:rFonts w:ascii="Arial Narrow" w:hAnsi="Arial Narrow"/>
          <w:i/>
          <w:sz w:val="20"/>
          <w:szCs w:val="20"/>
          <w:lang w:val="en-US"/>
        </w:rPr>
        <w:t>Dori</w:t>
      </w:r>
      <w:proofErr w:type="spellEnd"/>
      <w:r w:rsidRPr="002A7CD1">
        <w:rPr>
          <w:rFonts w:ascii="Arial Narrow" w:hAnsi="Arial Narrow"/>
          <w:sz w:val="20"/>
          <w:szCs w:val="20"/>
        </w:rPr>
        <w:t xml:space="preserve">, горе 26. Там се поддържа тезата, че „ефектът от разширяването на съдебната практика до сферата на частните отношения би била, за да се припознае властта </w:t>
      </w:r>
      <w:r w:rsidRPr="002A7CD1">
        <w:rPr>
          <w:rFonts w:ascii="Arial Narrow" w:hAnsi="Arial Narrow"/>
          <w:sz w:val="20"/>
          <w:szCs w:val="20"/>
          <w:lang w:val="ru-RU"/>
        </w:rPr>
        <w:t>[</w:t>
      </w:r>
      <w:r w:rsidRPr="002A7CD1">
        <w:rPr>
          <w:rFonts w:ascii="Arial Narrow" w:hAnsi="Arial Narrow"/>
          <w:sz w:val="20"/>
          <w:szCs w:val="20"/>
        </w:rPr>
        <w:t>на ЕС</w:t>
      </w:r>
      <w:r w:rsidRPr="002A7CD1">
        <w:rPr>
          <w:rFonts w:ascii="Arial Narrow" w:hAnsi="Arial Narrow"/>
          <w:sz w:val="20"/>
          <w:szCs w:val="20"/>
          <w:lang w:val="ru-RU"/>
        </w:rPr>
        <w:t>]</w:t>
      </w:r>
      <w:r w:rsidRPr="002A7CD1">
        <w:rPr>
          <w:rFonts w:ascii="Arial Narrow" w:hAnsi="Arial Narrow"/>
          <w:sz w:val="20"/>
          <w:szCs w:val="20"/>
        </w:rPr>
        <w:t xml:space="preserve"> да въвежда задължения за физическите лица с директен ефект, вземайки предвид, че тук той е </w:t>
      </w:r>
      <w:proofErr w:type="spellStart"/>
      <w:r w:rsidRPr="002A7CD1">
        <w:rPr>
          <w:rFonts w:ascii="Arial Narrow" w:hAnsi="Arial Narrow"/>
          <w:sz w:val="20"/>
          <w:szCs w:val="20"/>
        </w:rPr>
        <w:t>овластен</w:t>
      </w:r>
      <w:proofErr w:type="spellEnd"/>
      <w:r w:rsidRPr="002A7CD1">
        <w:rPr>
          <w:rFonts w:ascii="Arial Narrow" w:hAnsi="Arial Narrow"/>
          <w:sz w:val="20"/>
          <w:szCs w:val="20"/>
        </w:rPr>
        <w:t xml:space="preserve"> само доколкото приема регламенти“. </w:t>
      </w:r>
      <w:proofErr w:type="gramStart"/>
      <w:r w:rsidRPr="002A7CD1">
        <w:rPr>
          <w:rFonts w:ascii="Arial Narrow" w:hAnsi="Arial Narrow"/>
          <w:i/>
          <w:sz w:val="20"/>
          <w:szCs w:val="20"/>
          <w:lang w:val="en-US"/>
        </w:rPr>
        <w:t>Ibid</w:t>
      </w:r>
      <w:r w:rsidRPr="002A7CD1">
        <w:rPr>
          <w:rFonts w:ascii="Arial Narrow" w:hAnsi="Arial Narrow"/>
          <w:sz w:val="20"/>
          <w:szCs w:val="20"/>
          <w:lang w:val="ru-RU"/>
        </w:rPr>
        <w:t>.,</w:t>
      </w:r>
      <w:proofErr w:type="gramEnd"/>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24.</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37</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Трстеняк</w:t>
      </w:r>
      <w:proofErr w:type="spellEnd"/>
      <w:r w:rsidRPr="002A7CD1">
        <w:rPr>
          <w:rFonts w:ascii="Arial Narrow" w:hAnsi="Arial Narrow"/>
          <w:sz w:val="20"/>
          <w:szCs w:val="20"/>
        </w:rPr>
        <w:t xml:space="preserve"> по дело </w:t>
      </w:r>
      <w:r w:rsidRPr="002A7CD1">
        <w:rPr>
          <w:rFonts w:ascii="Arial Narrow" w:hAnsi="Arial Narrow"/>
          <w:sz w:val="20"/>
          <w:szCs w:val="20"/>
          <w:lang w:val="en-US"/>
        </w:rPr>
        <w:t>C</w:t>
      </w:r>
      <w:r w:rsidRPr="002A7CD1">
        <w:rPr>
          <w:rFonts w:ascii="Arial Narrow" w:hAnsi="Arial Narrow"/>
          <w:sz w:val="20"/>
          <w:szCs w:val="20"/>
          <w:lang w:val="ru-RU"/>
        </w:rPr>
        <w:t xml:space="preserve">-282/10 </w:t>
      </w:r>
      <w:r w:rsidRPr="002A7CD1">
        <w:rPr>
          <w:rFonts w:ascii="Arial Narrow" w:hAnsi="Arial Narrow"/>
          <w:i/>
          <w:sz w:val="20"/>
          <w:szCs w:val="20"/>
          <w:lang w:val="en-US"/>
        </w:rPr>
        <w:t>Dominguez</w:t>
      </w:r>
      <w:r w:rsidRPr="002A7CD1">
        <w:rPr>
          <w:rFonts w:ascii="Arial Narrow" w:hAnsi="Arial Narrow"/>
          <w:sz w:val="20"/>
          <w:szCs w:val="20"/>
        </w:rPr>
        <w:t xml:space="preserve">, решение от 24.01.2012г., все още недокладвано. </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38</w:t>
      </w:r>
      <w:r w:rsidRPr="002A7CD1">
        <w:rPr>
          <w:rFonts w:ascii="Arial Narrow" w:hAnsi="Arial Narrow"/>
          <w:i/>
          <w:sz w:val="20"/>
          <w:szCs w:val="20"/>
          <w:lang w:val="ru-RU"/>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lang w:val="ru-RU"/>
        </w:rPr>
        <w:t>. 157.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39</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Бот</w:t>
      </w:r>
      <w:proofErr w:type="spellEnd"/>
      <w:r w:rsidRPr="002A7CD1">
        <w:rPr>
          <w:rFonts w:ascii="Arial Narrow" w:hAnsi="Arial Narrow"/>
          <w:sz w:val="20"/>
          <w:szCs w:val="20"/>
        </w:rPr>
        <w:t xml:space="preserve"> по делото </w:t>
      </w:r>
      <w:r w:rsidRPr="002A7CD1">
        <w:rPr>
          <w:rFonts w:ascii="Arial Narrow" w:hAnsi="Arial Narrow"/>
          <w:i/>
          <w:sz w:val="20"/>
          <w:szCs w:val="20"/>
          <w:lang w:val="en-US"/>
        </w:rPr>
        <w:t>K</w:t>
      </w:r>
      <w:r w:rsidRPr="002A7CD1">
        <w:rPr>
          <w:rFonts w:ascii="Arial Narrow" w:hAnsi="Arial Narrow"/>
          <w:i/>
          <w:sz w:val="20"/>
          <w:szCs w:val="20"/>
        </w:rPr>
        <w:t>ü</w:t>
      </w:r>
      <w:r w:rsidRPr="002A7CD1">
        <w:rPr>
          <w:rFonts w:ascii="Arial Narrow" w:hAnsi="Arial Narrow"/>
          <w:i/>
          <w:sz w:val="20"/>
          <w:szCs w:val="20"/>
          <w:lang w:val="en-US"/>
        </w:rPr>
        <w:t>c</w:t>
      </w:r>
      <w:r w:rsidRPr="002A7CD1">
        <w:rPr>
          <w:rFonts w:ascii="Arial Narrow" w:hAnsi="Arial Narrow"/>
          <w:i/>
          <w:sz w:val="20"/>
          <w:szCs w:val="20"/>
        </w:rPr>
        <w:t>ü</w:t>
      </w:r>
      <w:proofErr w:type="spellStart"/>
      <w:r w:rsidRPr="002A7CD1">
        <w:rPr>
          <w:rFonts w:ascii="Arial Narrow" w:hAnsi="Arial Narrow"/>
          <w:i/>
          <w:sz w:val="20"/>
          <w:szCs w:val="20"/>
          <w:lang w:val="en-US"/>
        </w:rPr>
        <w:t>kdeveci</w:t>
      </w:r>
      <w:proofErr w:type="spellEnd"/>
      <w:r w:rsidRPr="002A7CD1">
        <w:rPr>
          <w:rFonts w:ascii="Arial Narrow" w:hAnsi="Arial Narrow"/>
          <w:i/>
          <w:sz w:val="20"/>
          <w:szCs w:val="20"/>
        </w:rPr>
        <w:t xml:space="preserve">, </w:t>
      </w:r>
      <w:r w:rsidRPr="002A7CD1">
        <w:rPr>
          <w:rFonts w:ascii="Arial Narrow" w:hAnsi="Arial Narrow"/>
          <w:sz w:val="20"/>
          <w:szCs w:val="20"/>
        </w:rPr>
        <w:t xml:space="preserve">горе 23, </w:t>
      </w:r>
      <w:proofErr w:type="spellStart"/>
      <w:r w:rsidRPr="002A7CD1">
        <w:rPr>
          <w:rFonts w:ascii="Arial Narrow" w:hAnsi="Arial Narrow"/>
          <w:sz w:val="20"/>
          <w:szCs w:val="20"/>
        </w:rPr>
        <w:t>пар</w:t>
      </w:r>
      <w:proofErr w:type="spellEnd"/>
      <w:r w:rsidRPr="002A7CD1">
        <w:rPr>
          <w:rFonts w:ascii="Arial Narrow" w:hAnsi="Arial Narrow"/>
          <w:sz w:val="20"/>
          <w:szCs w:val="20"/>
        </w:rPr>
        <w:t>. 34.</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40</w:t>
      </w:r>
      <w:r w:rsidRPr="002A7CD1">
        <w:rPr>
          <w:rFonts w:ascii="Arial Narrow" w:hAnsi="Arial Narrow"/>
          <w:sz w:val="20"/>
          <w:szCs w:val="20"/>
        </w:rPr>
        <w:t xml:space="preserve"> </w:t>
      </w:r>
      <w:r w:rsidRPr="002A7CD1">
        <w:rPr>
          <w:rFonts w:ascii="Arial Narrow" w:hAnsi="Arial Narrow"/>
          <w:sz w:val="20"/>
          <w:szCs w:val="20"/>
          <w:lang w:val="en-US"/>
        </w:rPr>
        <w:t xml:space="preserve">S. </w:t>
      </w:r>
      <w:proofErr w:type="spellStart"/>
      <w:r w:rsidRPr="002A7CD1">
        <w:rPr>
          <w:rFonts w:ascii="Arial Narrow" w:hAnsi="Arial Narrow"/>
          <w:sz w:val="20"/>
          <w:szCs w:val="20"/>
          <w:lang w:val="en-US"/>
        </w:rPr>
        <w:t>Prechal</w:t>
      </w:r>
      <w:proofErr w:type="spellEnd"/>
      <w:r w:rsidRPr="002A7CD1">
        <w:rPr>
          <w:rFonts w:ascii="Arial Narrow" w:hAnsi="Arial Narrow"/>
          <w:sz w:val="20"/>
          <w:szCs w:val="20"/>
          <w:lang w:val="en-US"/>
        </w:rPr>
        <w:t xml:space="preserve">, “Competence Creep and General Principles of Law” (2010) 3 </w:t>
      </w:r>
      <w:r w:rsidRPr="002A7CD1">
        <w:rPr>
          <w:rFonts w:ascii="Arial Narrow" w:hAnsi="Arial Narrow"/>
          <w:i/>
          <w:sz w:val="20"/>
          <w:szCs w:val="20"/>
          <w:lang w:val="en-US"/>
        </w:rPr>
        <w:t>Review of European Administrative</w:t>
      </w:r>
      <w:r w:rsidRPr="002A7CD1">
        <w:rPr>
          <w:rFonts w:ascii="Arial Narrow" w:hAnsi="Arial Narrow"/>
          <w:sz w:val="20"/>
          <w:szCs w:val="20"/>
          <w:lang w:val="en-US"/>
        </w:rPr>
        <w:t xml:space="preserve"> </w:t>
      </w:r>
      <w:r w:rsidRPr="002A7CD1">
        <w:rPr>
          <w:rFonts w:ascii="Arial Narrow" w:hAnsi="Arial Narrow"/>
          <w:i/>
          <w:sz w:val="20"/>
          <w:szCs w:val="20"/>
          <w:lang w:val="en-US"/>
        </w:rPr>
        <w:t>Law</w:t>
      </w:r>
      <w:r w:rsidRPr="002A7CD1">
        <w:rPr>
          <w:rFonts w:ascii="Arial Narrow" w:hAnsi="Arial Narrow"/>
          <w:sz w:val="20"/>
          <w:szCs w:val="20"/>
          <w:lang w:val="en-US"/>
        </w:rPr>
        <w:t xml:space="preserve"> 5, at 18-19.</w:t>
      </w:r>
    </w:p>
    <w:p w:rsidR="007B37A0" w:rsidRPr="002A7CD1" w:rsidRDefault="007B37A0" w:rsidP="002A7CD1">
      <w:pPr>
        <w:spacing w:after="0" w:line="240" w:lineRule="auto"/>
        <w:ind w:right="-360" w:firstLine="540"/>
        <w:rPr>
          <w:rFonts w:ascii="Arial Narrow" w:hAnsi="Arial Narrow"/>
          <w:sz w:val="20"/>
          <w:szCs w:val="20"/>
          <w:lang w:val="en-US"/>
        </w:rPr>
      </w:pPr>
      <w:proofErr w:type="gramStart"/>
      <w:r w:rsidRPr="002A7CD1">
        <w:rPr>
          <w:rFonts w:ascii="Arial Narrow" w:hAnsi="Arial Narrow"/>
          <w:sz w:val="20"/>
          <w:szCs w:val="20"/>
          <w:vertAlign w:val="superscript"/>
          <w:lang w:val="en-US"/>
        </w:rPr>
        <w:t>41</w:t>
      </w:r>
      <w:r w:rsidRPr="002A7CD1">
        <w:rPr>
          <w:rFonts w:ascii="Arial Narrow" w:hAnsi="Arial Narrow"/>
          <w:sz w:val="20"/>
          <w:szCs w:val="20"/>
          <w:lang w:val="en-US"/>
        </w:rPr>
        <w:t xml:space="preserve"> </w:t>
      </w:r>
      <w:r w:rsidRPr="002A7CD1">
        <w:rPr>
          <w:rFonts w:ascii="Arial Narrow" w:hAnsi="Arial Narrow"/>
          <w:i/>
          <w:sz w:val="20"/>
          <w:szCs w:val="20"/>
          <w:lang w:val="en-US"/>
        </w:rPr>
        <w:t>Ibid</w:t>
      </w:r>
      <w:r w:rsidRPr="002A7CD1">
        <w:rPr>
          <w:rFonts w:ascii="Arial Narrow" w:hAnsi="Arial Narrow"/>
          <w:sz w:val="20"/>
          <w:szCs w:val="20"/>
          <w:lang w:val="en-US"/>
        </w:rPr>
        <w:t>.</w:t>
      </w:r>
      <w:proofErr w:type="gramEnd"/>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lang w:val="en-US"/>
        </w:rPr>
        <w:t>42</w:t>
      </w:r>
      <w:r w:rsidRPr="002A7CD1">
        <w:rPr>
          <w:rFonts w:ascii="Arial Narrow" w:hAnsi="Arial Narrow"/>
          <w:i/>
          <w:sz w:val="20"/>
          <w:szCs w:val="20"/>
          <w:lang w:val="en-US"/>
        </w:rPr>
        <w:t>Ibid</w:t>
      </w:r>
      <w:r w:rsidRPr="002A7CD1">
        <w:rPr>
          <w:rFonts w:ascii="Arial Narrow" w:hAnsi="Arial Narrow"/>
          <w:sz w:val="20"/>
          <w:szCs w:val="20"/>
          <w:lang w:val="en-US"/>
        </w:rPr>
        <w:t>.</w:t>
      </w:r>
    </w:p>
    <w:p w:rsidR="007B37A0" w:rsidRPr="002A7CD1" w:rsidRDefault="007B37A0" w:rsidP="002A7CD1">
      <w:pPr>
        <w:spacing w:after="0" w:line="240" w:lineRule="auto"/>
        <w:ind w:right="-360" w:firstLine="540"/>
        <w:rPr>
          <w:rFonts w:ascii="Arial Narrow" w:hAnsi="Arial Narrow"/>
          <w:sz w:val="20"/>
          <w:szCs w:val="20"/>
          <w:lang w:val="en-US"/>
        </w:rPr>
      </w:pPr>
      <w:proofErr w:type="gramStart"/>
      <w:r w:rsidRPr="002A7CD1">
        <w:rPr>
          <w:rFonts w:ascii="Arial Narrow" w:hAnsi="Arial Narrow"/>
          <w:sz w:val="20"/>
          <w:szCs w:val="20"/>
          <w:vertAlign w:val="superscript"/>
          <w:lang w:val="en-US"/>
        </w:rPr>
        <w:t>43</w:t>
      </w:r>
      <w:r w:rsidRPr="002A7CD1">
        <w:rPr>
          <w:rFonts w:ascii="Arial Narrow" w:hAnsi="Arial Narrow"/>
          <w:sz w:val="20"/>
          <w:szCs w:val="20"/>
          <w:lang w:val="en-US"/>
        </w:rPr>
        <w:t xml:space="preserve"> K. </w:t>
      </w:r>
      <w:proofErr w:type="spell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J. A. </w:t>
      </w:r>
      <w:proofErr w:type="spellStart"/>
      <w:r w:rsidRPr="002A7CD1">
        <w:rPr>
          <w:rFonts w:ascii="Arial Narrow" w:hAnsi="Arial Narrow"/>
          <w:sz w:val="20"/>
          <w:szCs w:val="20"/>
          <w:lang w:val="en-US"/>
        </w:rPr>
        <w:t>Gutiérrez-Fons</w:t>
      </w:r>
      <w:proofErr w:type="spellEnd"/>
      <w:r w:rsidRPr="002A7CD1">
        <w:rPr>
          <w:rFonts w:ascii="Arial Narrow" w:hAnsi="Arial Narrow"/>
          <w:sz w:val="20"/>
          <w:szCs w:val="20"/>
          <w:lang w:val="en-US"/>
        </w:rPr>
        <w:t xml:space="preserve">, “The constitutional allocation of powers and general principles of EU law” (2010) 47 </w:t>
      </w:r>
      <w:r w:rsidRPr="002A7CD1">
        <w:rPr>
          <w:rFonts w:ascii="Arial Narrow" w:hAnsi="Arial Narrow"/>
          <w:i/>
          <w:sz w:val="20"/>
          <w:szCs w:val="20"/>
          <w:lang w:val="en-US"/>
        </w:rPr>
        <w:t>Common Market Law Review</w:t>
      </w:r>
      <w:r w:rsidRPr="002A7CD1">
        <w:rPr>
          <w:rFonts w:ascii="Arial Narrow" w:hAnsi="Arial Narrow"/>
          <w:sz w:val="20"/>
          <w:szCs w:val="20"/>
          <w:lang w:val="en-US"/>
        </w:rPr>
        <w:t xml:space="preserve"> 1629, at 1647 et seq.</w:t>
      </w:r>
      <w:proofErr w:type="gramEnd"/>
      <w:r w:rsidRPr="002A7CD1">
        <w:rPr>
          <w:rFonts w:ascii="Arial Narrow" w:hAnsi="Arial Narrow"/>
          <w:sz w:val="20"/>
          <w:szCs w:val="20"/>
          <w:lang w:val="en-US"/>
        </w:rPr>
        <w:t xml:space="preserve"> </w:t>
      </w:r>
    </w:p>
    <w:p w:rsidR="007B37A0" w:rsidRPr="002A7CD1" w:rsidRDefault="007B37A0" w:rsidP="002A7CD1">
      <w:pPr>
        <w:spacing w:after="0" w:line="240" w:lineRule="auto"/>
        <w:ind w:right="-360" w:firstLine="540"/>
        <w:rPr>
          <w:rFonts w:ascii="Arial Narrow" w:hAnsi="Arial Narrow"/>
          <w:sz w:val="20"/>
          <w:szCs w:val="20"/>
        </w:rPr>
      </w:pPr>
      <w:proofErr w:type="gramStart"/>
      <w:r w:rsidRPr="002A7CD1">
        <w:rPr>
          <w:rFonts w:ascii="Arial Narrow" w:hAnsi="Arial Narrow"/>
          <w:sz w:val="20"/>
          <w:szCs w:val="20"/>
          <w:vertAlign w:val="superscript"/>
          <w:lang w:val="en-US"/>
        </w:rPr>
        <w:t>44</w:t>
      </w:r>
      <w:r w:rsidRPr="002A7CD1">
        <w:rPr>
          <w:rFonts w:ascii="Arial Narrow" w:hAnsi="Arial Narrow"/>
          <w:sz w:val="20"/>
          <w:szCs w:val="20"/>
          <w:lang w:val="en-US"/>
        </w:rPr>
        <w:t xml:space="preserve"> </w:t>
      </w:r>
      <w:proofErr w:type="spellStart"/>
      <w:r w:rsidRPr="002A7CD1">
        <w:rPr>
          <w:rFonts w:ascii="Arial Narrow" w:hAnsi="Arial Narrow"/>
          <w:i/>
          <w:sz w:val="20"/>
          <w:szCs w:val="20"/>
          <w:lang w:val="en-US"/>
        </w:rPr>
        <w:t>Defrenne</w:t>
      </w:r>
      <w:proofErr w:type="spellEnd"/>
      <w:r w:rsidRPr="002A7CD1">
        <w:rPr>
          <w:rFonts w:ascii="Arial Narrow" w:hAnsi="Arial Narrow"/>
          <w:sz w:val="20"/>
          <w:szCs w:val="20"/>
          <w:lang w:val="en-US"/>
        </w:rPr>
        <w:t xml:space="preserve">, </w:t>
      </w:r>
      <w:r w:rsidRPr="002A7CD1">
        <w:rPr>
          <w:rFonts w:ascii="Arial Narrow" w:hAnsi="Arial Narrow"/>
          <w:sz w:val="20"/>
          <w:szCs w:val="20"/>
        </w:rPr>
        <w:t>горе 22.</w:t>
      </w:r>
      <w:proofErr w:type="gramEnd"/>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45</w:t>
      </w:r>
      <w:r w:rsidRPr="002A7CD1">
        <w:rPr>
          <w:rFonts w:ascii="Arial Narrow" w:hAnsi="Arial Narrow"/>
          <w:sz w:val="20"/>
          <w:szCs w:val="20"/>
        </w:rPr>
        <w:t xml:space="preserve"> </w:t>
      </w:r>
      <w:proofErr w:type="spellStart"/>
      <w:r w:rsidRPr="002A7CD1">
        <w:rPr>
          <w:rFonts w:ascii="Arial Narrow" w:hAnsi="Arial Narrow"/>
          <w:i/>
          <w:sz w:val="20"/>
          <w:szCs w:val="20"/>
          <w:lang w:val="en-US"/>
        </w:rPr>
        <w:t>Angonese</w:t>
      </w:r>
      <w:proofErr w:type="spellEnd"/>
      <w:r w:rsidRPr="002A7CD1">
        <w:rPr>
          <w:rFonts w:ascii="Arial Narrow" w:hAnsi="Arial Narrow"/>
          <w:sz w:val="20"/>
          <w:szCs w:val="20"/>
          <w:lang w:val="en-US"/>
        </w:rPr>
        <w:t xml:space="preserve">, </w:t>
      </w:r>
      <w:r w:rsidRPr="002A7CD1">
        <w:rPr>
          <w:rFonts w:ascii="Arial Narrow" w:hAnsi="Arial Narrow"/>
          <w:sz w:val="20"/>
          <w:szCs w:val="20"/>
        </w:rPr>
        <w:t>горе 21.</w:t>
      </w:r>
    </w:p>
    <w:p w:rsidR="007B37A0" w:rsidRPr="002A7CD1" w:rsidRDefault="007B37A0" w:rsidP="002A7CD1">
      <w:pPr>
        <w:spacing w:after="0" w:line="240" w:lineRule="auto"/>
        <w:ind w:right="-360" w:firstLine="540"/>
        <w:rPr>
          <w:rFonts w:ascii="Arial Narrow" w:hAnsi="Arial Narrow"/>
          <w:sz w:val="20"/>
          <w:szCs w:val="20"/>
        </w:rPr>
      </w:pPr>
      <w:proofErr w:type="gramStart"/>
      <w:r w:rsidRPr="002A7CD1">
        <w:rPr>
          <w:rFonts w:ascii="Arial Narrow" w:hAnsi="Arial Narrow"/>
          <w:sz w:val="20"/>
          <w:szCs w:val="20"/>
          <w:vertAlign w:val="superscript"/>
          <w:lang w:val="en-US"/>
        </w:rPr>
        <w:t>46</w:t>
      </w:r>
      <w:r w:rsidRPr="002A7CD1">
        <w:rPr>
          <w:rFonts w:ascii="Arial Narrow" w:hAnsi="Arial Narrow"/>
          <w:sz w:val="20"/>
          <w:szCs w:val="20"/>
          <w:lang w:val="en-US"/>
        </w:rPr>
        <w:t xml:space="preserve"> </w:t>
      </w:r>
      <w:proofErr w:type="spellStart"/>
      <w:r w:rsidRPr="002A7CD1">
        <w:rPr>
          <w:rFonts w:ascii="Arial Narrow" w:hAnsi="Arial Narrow"/>
          <w:i/>
          <w:sz w:val="20"/>
          <w:szCs w:val="20"/>
          <w:lang w:val="en-US"/>
        </w:rPr>
        <w:t>Defrenne</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22, </w:t>
      </w:r>
      <w:proofErr w:type="spellStart"/>
      <w:r w:rsidRPr="002A7CD1">
        <w:rPr>
          <w:rFonts w:ascii="Arial Narrow" w:hAnsi="Arial Narrow"/>
          <w:sz w:val="20"/>
          <w:szCs w:val="20"/>
        </w:rPr>
        <w:t>пар</w:t>
      </w:r>
      <w:proofErr w:type="spellEnd"/>
      <w:r w:rsidRPr="002A7CD1">
        <w:rPr>
          <w:rFonts w:ascii="Arial Narrow" w:hAnsi="Arial Narrow"/>
          <w:sz w:val="20"/>
          <w:szCs w:val="20"/>
        </w:rPr>
        <w:t>.</w:t>
      </w:r>
      <w:proofErr w:type="gramEnd"/>
      <w:r w:rsidRPr="002A7CD1">
        <w:rPr>
          <w:rFonts w:ascii="Arial Narrow" w:hAnsi="Arial Narrow"/>
          <w:sz w:val="20"/>
          <w:szCs w:val="20"/>
        </w:rPr>
        <w:t xml:space="preserve"> 39.</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47</w:t>
      </w:r>
      <w:r w:rsidRPr="002A7CD1">
        <w:rPr>
          <w:rFonts w:ascii="Arial Narrow" w:hAnsi="Arial Narrow"/>
          <w:sz w:val="20"/>
          <w:szCs w:val="20"/>
        </w:rPr>
        <w:t xml:space="preserve"> </w:t>
      </w:r>
      <w:r w:rsidRPr="002A7CD1">
        <w:rPr>
          <w:rFonts w:ascii="Arial Narrow" w:hAnsi="Arial Narrow"/>
          <w:sz w:val="20"/>
          <w:szCs w:val="20"/>
          <w:lang w:val="en-US"/>
        </w:rPr>
        <w:t>OJ</w:t>
      </w:r>
      <w:r w:rsidRPr="002A7CD1">
        <w:rPr>
          <w:rFonts w:ascii="Arial Narrow" w:hAnsi="Arial Narrow"/>
          <w:sz w:val="20"/>
          <w:szCs w:val="20"/>
        </w:rPr>
        <w:t xml:space="preserve"> [1975] </w:t>
      </w:r>
      <w:r w:rsidRPr="002A7CD1">
        <w:rPr>
          <w:rFonts w:ascii="Arial Narrow" w:hAnsi="Arial Narrow"/>
          <w:sz w:val="20"/>
          <w:szCs w:val="20"/>
          <w:lang w:val="en-US"/>
        </w:rPr>
        <w:t>L</w:t>
      </w:r>
      <w:r w:rsidRPr="002A7CD1">
        <w:rPr>
          <w:rFonts w:ascii="Arial Narrow" w:hAnsi="Arial Narrow"/>
          <w:sz w:val="20"/>
          <w:szCs w:val="20"/>
        </w:rPr>
        <w:t xml:space="preserve"> 45/19.</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 xml:space="preserve">48 </w:t>
      </w:r>
      <w:proofErr w:type="spellStart"/>
      <w:r w:rsidRPr="002A7CD1">
        <w:rPr>
          <w:rFonts w:ascii="Arial Narrow" w:hAnsi="Arial Narrow"/>
          <w:i/>
          <w:sz w:val="20"/>
          <w:szCs w:val="20"/>
          <w:lang w:val="en-US"/>
        </w:rPr>
        <w:t>Defrenne</w:t>
      </w:r>
      <w:proofErr w:type="spellEnd"/>
      <w:r w:rsidRPr="002A7CD1">
        <w:rPr>
          <w:rFonts w:ascii="Arial Narrow" w:hAnsi="Arial Narrow"/>
          <w:sz w:val="20"/>
          <w:szCs w:val="20"/>
        </w:rPr>
        <w:t xml:space="preserve">, горе 22,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60. Виж също дело </w:t>
      </w:r>
      <w:r w:rsidRPr="002A7CD1">
        <w:rPr>
          <w:rFonts w:ascii="Arial Narrow" w:hAnsi="Arial Narrow"/>
          <w:sz w:val="20"/>
          <w:szCs w:val="20"/>
          <w:lang w:val="ru-RU"/>
        </w:rPr>
        <w:t xml:space="preserve">96/80 </w:t>
      </w:r>
      <w:r w:rsidRPr="002A7CD1">
        <w:rPr>
          <w:rFonts w:ascii="Arial Narrow" w:hAnsi="Arial Narrow"/>
          <w:i/>
          <w:sz w:val="20"/>
          <w:szCs w:val="20"/>
          <w:lang w:val="en-US"/>
        </w:rPr>
        <w:t>Jenkins</w:t>
      </w:r>
      <w:r w:rsidRPr="002A7CD1">
        <w:rPr>
          <w:rFonts w:ascii="Arial Narrow" w:hAnsi="Arial Narrow"/>
          <w:sz w:val="20"/>
          <w:szCs w:val="20"/>
          <w:lang w:val="ru-RU"/>
        </w:rPr>
        <w:t xml:space="preserve"> [1981]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911,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22 (твърдейки, че Директива 75/117 не може да изменя съдържанието или обхвата на този основен принцип); дело </w:t>
      </w:r>
      <w:r w:rsidRPr="002A7CD1">
        <w:rPr>
          <w:rFonts w:ascii="Arial Narrow" w:hAnsi="Arial Narrow"/>
          <w:sz w:val="20"/>
          <w:szCs w:val="20"/>
          <w:lang w:val="en-US"/>
        </w:rPr>
        <w:t>C</w:t>
      </w:r>
      <w:r w:rsidRPr="002A7CD1">
        <w:rPr>
          <w:rFonts w:ascii="Arial Narrow" w:hAnsi="Arial Narrow"/>
          <w:sz w:val="20"/>
          <w:szCs w:val="20"/>
          <w:lang w:val="ru-RU"/>
        </w:rPr>
        <w:t xml:space="preserve">-17/05 </w:t>
      </w:r>
      <w:r w:rsidRPr="002A7CD1">
        <w:rPr>
          <w:rFonts w:ascii="Arial Narrow" w:hAnsi="Arial Narrow"/>
          <w:i/>
          <w:sz w:val="20"/>
          <w:szCs w:val="20"/>
          <w:lang w:val="en-US"/>
        </w:rPr>
        <w:t>Cadman</w:t>
      </w:r>
      <w:r w:rsidRPr="002A7CD1">
        <w:rPr>
          <w:rFonts w:ascii="Arial Narrow" w:hAnsi="Arial Narrow"/>
          <w:sz w:val="20"/>
          <w:szCs w:val="20"/>
          <w:lang w:val="ru-RU"/>
        </w:rPr>
        <w:t xml:space="preserve"> [2006]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-9583,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29. </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49</w:t>
      </w:r>
      <w:r w:rsidRPr="002A7CD1">
        <w:rPr>
          <w:rFonts w:ascii="Arial Narrow" w:hAnsi="Arial Narrow"/>
          <w:sz w:val="20"/>
          <w:szCs w:val="20"/>
        </w:rPr>
        <w:t xml:space="preserve"> </w:t>
      </w:r>
      <w:r w:rsidRPr="002A7CD1">
        <w:rPr>
          <w:rFonts w:ascii="Arial Narrow" w:hAnsi="Arial Narrow"/>
          <w:sz w:val="20"/>
          <w:szCs w:val="20"/>
          <w:lang w:val="en-US"/>
        </w:rPr>
        <w:t xml:space="preserve">OJ [1968] Spec. </w:t>
      </w:r>
      <w:proofErr w:type="gramStart"/>
      <w:r w:rsidRPr="002A7CD1">
        <w:rPr>
          <w:rFonts w:ascii="Arial Narrow" w:hAnsi="Arial Narrow"/>
          <w:sz w:val="20"/>
          <w:szCs w:val="20"/>
          <w:lang w:val="en-US"/>
        </w:rPr>
        <w:t xml:space="preserve">Ed. </w:t>
      </w:r>
      <w:proofErr w:type="spellStart"/>
      <w:r w:rsidRPr="002A7CD1">
        <w:rPr>
          <w:rFonts w:ascii="Arial Narrow" w:hAnsi="Arial Narrow"/>
          <w:sz w:val="20"/>
          <w:szCs w:val="20"/>
          <w:lang w:val="en-US"/>
        </w:rPr>
        <w:t>Séries</w:t>
      </w:r>
      <w:proofErr w:type="spellEnd"/>
      <w:r w:rsidRPr="002A7CD1">
        <w:rPr>
          <w:rFonts w:ascii="Arial Narrow" w:hAnsi="Arial Narrow"/>
          <w:sz w:val="20"/>
          <w:szCs w:val="20"/>
          <w:lang w:val="en-US"/>
        </w:rPr>
        <w:t xml:space="preserve"> I-475.</w:t>
      </w:r>
      <w:proofErr w:type="gramEnd"/>
    </w:p>
    <w:p w:rsidR="007B37A0" w:rsidRPr="002A7CD1" w:rsidRDefault="007B37A0" w:rsidP="002A7CD1">
      <w:pPr>
        <w:spacing w:after="0" w:line="240" w:lineRule="auto"/>
        <w:ind w:right="-360" w:firstLine="540"/>
        <w:rPr>
          <w:rFonts w:ascii="Arial Narrow" w:hAnsi="Arial Narrow"/>
          <w:sz w:val="20"/>
          <w:szCs w:val="20"/>
        </w:rPr>
      </w:pPr>
      <w:proofErr w:type="gramStart"/>
      <w:r w:rsidRPr="002A7CD1">
        <w:rPr>
          <w:rFonts w:ascii="Arial Narrow" w:hAnsi="Arial Narrow"/>
          <w:sz w:val="20"/>
          <w:szCs w:val="20"/>
          <w:vertAlign w:val="superscript"/>
          <w:lang w:val="en-US"/>
        </w:rPr>
        <w:t>50</w:t>
      </w:r>
      <w:r w:rsidRPr="002A7CD1">
        <w:rPr>
          <w:rFonts w:ascii="Arial Narrow" w:hAnsi="Arial Narrow"/>
          <w:sz w:val="20"/>
          <w:szCs w:val="20"/>
          <w:lang w:val="en-US"/>
        </w:rPr>
        <w:t xml:space="preserve"> </w:t>
      </w:r>
      <w:proofErr w:type="spellStart"/>
      <w:r w:rsidRPr="002A7CD1">
        <w:rPr>
          <w:rFonts w:ascii="Arial Narrow" w:hAnsi="Arial Narrow"/>
          <w:i/>
          <w:sz w:val="20"/>
          <w:szCs w:val="20"/>
          <w:lang w:val="en-US"/>
        </w:rPr>
        <w:t>Angonese</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21, </w:t>
      </w:r>
      <w:proofErr w:type="spellStart"/>
      <w:r w:rsidRPr="002A7CD1">
        <w:rPr>
          <w:rFonts w:ascii="Arial Narrow" w:hAnsi="Arial Narrow"/>
          <w:sz w:val="20"/>
          <w:szCs w:val="20"/>
        </w:rPr>
        <w:t>пар</w:t>
      </w:r>
      <w:proofErr w:type="spellEnd"/>
      <w:r w:rsidRPr="002A7CD1">
        <w:rPr>
          <w:rFonts w:ascii="Arial Narrow" w:hAnsi="Arial Narrow"/>
          <w:sz w:val="20"/>
          <w:szCs w:val="20"/>
        </w:rPr>
        <w:t>.</w:t>
      </w:r>
      <w:proofErr w:type="gramEnd"/>
      <w:r w:rsidRPr="002A7CD1">
        <w:rPr>
          <w:rFonts w:ascii="Arial Narrow" w:hAnsi="Arial Narrow"/>
          <w:sz w:val="20"/>
          <w:szCs w:val="20"/>
        </w:rPr>
        <w:t xml:space="preserve"> 34-35.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51</w:t>
      </w:r>
      <w:r w:rsidRPr="002A7CD1">
        <w:rPr>
          <w:rFonts w:ascii="Arial Narrow" w:hAnsi="Arial Narrow"/>
          <w:sz w:val="20"/>
          <w:szCs w:val="20"/>
        </w:rPr>
        <w:t xml:space="preserve"> Съдът на ЕС отбелязва например, че макар бъдейки официално адресиран до държавите-членки чл. 141 ДЕО, това обстоятелство не изключва „права да бъдат предоставяни на физически лица“, които целят да приведат в сила задълженията, изписани вътре. </w:t>
      </w:r>
      <w:proofErr w:type="gramStart"/>
      <w:r w:rsidRPr="002A7CD1">
        <w:rPr>
          <w:rFonts w:ascii="Arial Narrow" w:hAnsi="Arial Narrow"/>
          <w:i/>
          <w:sz w:val="20"/>
          <w:szCs w:val="20"/>
          <w:lang w:val="en-US"/>
        </w:rPr>
        <w:t>Ibid</w:t>
      </w:r>
      <w:r w:rsidRPr="002A7CD1">
        <w:rPr>
          <w:rFonts w:ascii="Arial Narrow" w:hAnsi="Arial Narrow"/>
          <w:sz w:val="20"/>
          <w:szCs w:val="20"/>
          <w:lang w:val="en-US"/>
        </w:rPr>
        <w:t>.,</w:t>
      </w:r>
      <w:proofErr w:type="gramEnd"/>
      <w:r w:rsidRPr="002A7CD1">
        <w:rPr>
          <w:rFonts w:ascii="Arial Narrow" w:hAnsi="Arial Narrow"/>
          <w:sz w:val="20"/>
          <w:szCs w:val="20"/>
          <w:lang w:val="en-US"/>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31.</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52</w:t>
      </w:r>
      <w:r w:rsidRPr="002A7CD1">
        <w:rPr>
          <w:rFonts w:ascii="Arial Narrow" w:hAnsi="Arial Narrow"/>
          <w:sz w:val="20"/>
          <w:szCs w:val="20"/>
        </w:rPr>
        <w:t xml:space="preserve"> </w:t>
      </w:r>
      <w:r w:rsidRPr="002A7CD1">
        <w:rPr>
          <w:rFonts w:ascii="Arial Narrow" w:hAnsi="Arial Narrow"/>
          <w:sz w:val="20"/>
          <w:szCs w:val="20"/>
          <w:lang w:val="en-US"/>
        </w:rPr>
        <w:t xml:space="preserve">P. Craig and G. De </w:t>
      </w:r>
      <w:proofErr w:type="spellStart"/>
      <w:r w:rsidRPr="002A7CD1">
        <w:rPr>
          <w:rFonts w:ascii="Arial Narrow" w:hAnsi="Arial Narrow"/>
          <w:sz w:val="20"/>
          <w:szCs w:val="20"/>
          <w:lang w:val="en-US"/>
        </w:rPr>
        <w:t>Búrca</w:t>
      </w:r>
      <w:proofErr w:type="spellEnd"/>
      <w:r w:rsidRPr="002A7CD1">
        <w:rPr>
          <w:rFonts w:ascii="Arial Narrow" w:hAnsi="Arial Narrow"/>
          <w:sz w:val="20"/>
          <w:szCs w:val="20"/>
          <w:lang w:val="en-US"/>
        </w:rPr>
        <w:t xml:space="preserve">, </w:t>
      </w:r>
      <w:r w:rsidRPr="002A7CD1">
        <w:rPr>
          <w:rFonts w:ascii="Arial Narrow" w:hAnsi="Arial Narrow"/>
          <w:i/>
          <w:sz w:val="20"/>
          <w:szCs w:val="20"/>
          <w:lang w:val="en-US"/>
        </w:rPr>
        <w:t>EU Law: text, cases and materials</w:t>
      </w:r>
      <w:r w:rsidRPr="002A7CD1">
        <w:rPr>
          <w:rFonts w:ascii="Arial Narrow" w:hAnsi="Arial Narrow"/>
          <w:sz w:val="20"/>
          <w:szCs w:val="20"/>
          <w:lang w:val="en-US"/>
        </w:rPr>
        <w:t>, 4</w:t>
      </w:r>
      <w:r w:rsidRPr="002A7CD1">
        <w:rPr>
          <w:rFonts w:ascii="Arial Narrow" w:hAnsi="Arial Narrow"/>
          <w:sz w:val="20"/>
          <w:szCs w:val="20"/>
          <w:vertAlign w:val="superscript"/>
          <w:lang w:val="en-US"/>
        </w:rPr>
        <w:t>th</w:t>
      </w:r>
      <w:r w:rsidRPr="002A7CD1">
        <w:rPr>
          <w:rFonts w:ascii="Arial Narrow" w:hAnsi="Arial Narrow"/>
          <w:sz w:val="20"/>
          <w:szCs w:val="20"/>
          <w:lang w:val="en-US"/>
        </w:rPr>
        <w:t xml:space="preserve"> </w:t>
      </w:r>
      <w:proofErr w:type="spellStart"/>
      <w:r w:rsidRPr="002A7CD1">
        <w:rPr>
          <w:rFonts w:ascii="Arial Narrow" w:hAnsi="Arial Narrow"/>
          <w:sz w:val="20"/>
          <w:szCs w:val="20"/>
          <w:lang w:val="en-US"/>
        </w:rPr>
        <w:t>edn</w:t>
      </w:r>
      <w:proofErr w:type="spellEnd"/>
      <w:r w:rsidRPr="002A7CD1">
        <w:rPr>
          <w:rFonts w:ascii="Arial Narrow" w:hAnsi="Arial Narrow"/>
          <w:sz w:val="20"/>
          <w:szCs w:val="20"/>
          <w:lang w:val="en-US"/>
        </w:rPr>
        <w:t xml:space="preserve"> (Oxford, OUP, 2007) 276-277.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53</w:t>
      </w:r>
      <w:r w:rsidRPr="002A7CD1">
        <w:rPr>
          <w:rFonts w:ascii="Arial Narrow" w:hAnsi="Arial Narrow"/>
          <w:sz w:val="20"/>
          <w:szCs w:val="20"/>
        </w:rPr>
        <w:t xml:space="preserve"> </w:t>
      </w:r>
      <w:proofErr w:type="spellStart"/>
      <w:r w:rsidRPr="002A7CD1">
        <w:rPr>
          <w:rFonts w:ascii="Arial Narrow" w:hAnsi="Arial Narrow"/>
          <w:i/>
          <w:sz w:val="20"/>
          <w:szCs w:val="20"/>
          <w:lang w:val="en-US"/>
        </w:rPr>
        <w:t>Defrenne</w:t>
      </w:r>
      <w:proofErr w:type="spellEnd"/>
      <w:r w:rsidRPr="002A7CD1">
        <w:rPr>
          <w:rFonts w:ascii="Arial Narrow" w:hAnsi="Arial Narrow"/>
          <w:sz w:val="20"/>
          <w:szCs w:val="20"/>
        </w:rPr>
        <w:t xml:space="preserve">, горе 22, </w:t>
      </w:r>
      <w:proofErr w:type="spellStart"/>
      <w:r w:rsidRPr="002A7CD1">
        <w:rPr>
          <w:rFonts w:ascii="Arial Narrow" w:hAnsi="Arial Narrow"/>
          <w:sz w:val="20"/>
          <w:szCs w:val="20"/>
        </w:rPr>
        <w:t>пар</w:t>
      </w:r>
      <w:proofErr w:type="spellEnd"/>
      <w:r w:rsidRPr="002A7CD1">
        <w:rPr>
          <w:rFonts w:ascii="Arial Narrow" w:hAnsi="Arial Narrow"/>
          <w:sz w:val="20"/>
          <w:szCs w:val="20"/>
        </w:rPr>
        <w:t>. 19-22.</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54</w:t>
      </w:r>
      <w:r w:rsidRPr="002A7CD1">
        <w:rPr>
          <w:rFonts w:ascii="Arial Narrow" w:hAnsi="Arial Narrow"/>
          <w:sz w:val="20"/>
          <w:szCs w:val="20"/>
        </w:rPr>
        <w:t xml:space="preserve"> </w:t>
      </w:r>
      <w:r w:rsidRPr="002A7CD1">
        <w:rPr>
          <w:rFonts w:ascii="Arial Narrow" w:hAnsi="Arial Narrow"/>
          <w:i/>
          <w:sz w:val="20"/>
          <w:szCs w:val="20"/>
          <w:lang w:val="en-US"/>
        </w:rPr>
        <w:t>K</w:t>
      </w:r>
      <w:r w:rsidRPr="002A7CD1">
        <w:rPr>
          <w:rFonts w:ascii="Arial Narrow" w:hAnsi="Arial Narrow"/>
          <w:i/>
          <w:sz w:val="20"/>
          <w:szCs w:val="20"/>
        </w:rPr>
        <w:t>ü</w:t>
      </w:r>
      <w:r w:rsidRPr="002A7CD1">
        <w:rPr>
          <w:rFonts w:ascii="Arial Narrow" w:hAnsi="Arial Narrow"/>
          <w:i/>
          <w:sz w:val="20"/>
          <w:szCs w:val="20"/>
          <w:lang w:val="en-US"/>
        </w:rPr>
        <w:t>c</w:t>
      </w:r>
      <w:r w:rsidRPr="002A7CD1">
        <w:rPr>
          <w:rFonts w:ascii="Arial Narrow" w:hAnsi="Arial Narrow"/>
          <w:i/>
          <w:sz w:val="20"/>
          <w:szCs w:val="20"/>
        </w:rPr>
        <w:t>ü</w:t>
      </w:r>
      <w:proofErr w:type="spellStart"/>
      <w:r w:rsidRPr="002A7CD1">
        <w:rPr>
          <w:rFonts w:ascii="Arial Narrow" w:hAnsi="Arial Narrow"/>
          <w:i/>
          <w:sz w:val="20"/>
          <w:szCs w:val="20"/>
          <w:lang w:val="en-US"/>
        </w:rPr>
        <w:t>kdeveci</w:t>
      </w:r>
      <w:proofErr w:type="spellEnd"/>
      <w:r w:rsidRPr="002A7CD1">
        <w:rPr>
          <w:rFonts w:ascii="Arial Narrow" w:hAnsi="Arial Narrow"/>
          <w:i/>
          <w:sz w:val="20"/>
          <w:szCs w:val="20"/>
        </w:rPr>
        <w:t xml:space="preserve">, </w:t>
      </w:r>
      <w:r w:rsidRPr="002A7CD1">
        <w:rPr>
          <w:rFonts w:ascii="Arial Narrow" w:hAnsi="Arial Narrow"/>
          <w:sz w:val="20"/>
          <w:szCs w:val="20"/>
        </w:rPr>
        <w:t xml:space="preserve">горе 23, </w:t>
      </w:r>
      <w:proofErr w:type="spellStart"/>
      <w:r w:rsidRPr="002A7CD1">
        <w:rPr>
          <w:rFonts w:ascii="Arial Narrow" w:hAnsi="Arial Narrow"/>
          <w:sz w:val="20"/>
          <w:szCs w:val="20"/>
        </w:rPr>
        <w:t>пар</w:t>
      </w:r>
      <w:proofErr w:type="spellEnd"/>
      <w:r w:rsidRPr="002A7CD1">
        <w:rPr>
          <w:rFonts w:ascii="Arial Narrow" w:hAnsi="Arial Narrow"/>
          <w:sz w:val="20"/>
          <w:szCs w:val="20"/>
        </w:rPr>
        <w:t>. 50-55.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55</w:t>
      </w:r>
      <w:r w:rsidRPr="002A7CD1">
        <w:rPr>
          <w:rFonts w:ascii="Arial Narrow" w:hAnsi="Arial Narrow"/>
          <w:sz w:val="20"/>
          <w:szCs w:val="20"/>
        </w:rPr>
        <w:t xml:space="preserve"> Виж </w:t>
      </w:r>
      <w:r w:rsidRPr="002A7CD1">
        <w:rPr>
          <w:rFonts w:ascii="Arial Narrow" w:hAnsi="Arial Narrow"/>
          <w:sz w:val="20"/>
          <w:szCs w:val="20"/>
          <w:lang w:val="en-US"/>
        </w:rPr>
        <w:t xml:space="preserve">K.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5, 161, </w:t>
      </w:r>
      <w:r w:rsidRPr="002A7CD1">
        <w:rPr>
          <w:rFonts w:ascii="Arial Narrow" w:hAnsi="Arial Narrow" w:cs="Calibri"/>
          <w:sz w:val="20"/>
          <w:szCs w:val="20"/>
        </w:rPr>
        <w:t>§</w:t>
      </w:r>
      <w:r w:rsidRPr="002A7CD1">
        <w:rPr>
          <w:rFonts w:ascii="Arial Narrow" w:hAnsi="Arial Narrow"/>
          <w:sz w:val="20"/>
          <w:szCs w:val="20"/>
        </w:rPr>
        <w:t xml:space="preserve"> 7-055.</w:t>
      </w:r>
      <w:proofErr w:type="gramEnd"/>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56</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lang w:val="ru-RU"/>
        </w:rPr>
        <w:t xml:space="preserve">-85/96 </w:t>
      </w:r>
      <w:r w:rsidRPr="002A7CD1">
        <w:rPr>
          <w:rFonts w:ascii="Arial Narrow" w:hAnsi="Arial Narrow"/>
          <w:i/>
          <w:sz w:val="20"/>
          <w:szCs w:val="20"/>
          <w:lang w:val="en-US"/>
        </w:rPr>
        <w:t>Martinez</w:t>
      </w:r>
      <w:r w:rsidRPr="002A7CD1">
        <w:rPr>
          <w:rFonts w:ascii="Arial Narrow" w:hAnsi="Arial Narrow"/>
          <w:i/>
          <w:sz w:val="20"/>
          <w:szCs w:val="20"/>
          <w:lang w:val="ru-RU"/>
        </w:rPr>
        <w:t xml:space="preserve"> </w:t>
      </w:r>
      <w:proofErr w:type="spellStart"/>
      <w:r w:rsidRPr="002A7CD1">
        <w:rPr>
          <w:rFonts w:ascii="Arial Narrow" w:hAnsi="Arial Narrow"/>
          <w:i/>
          <w:sz w:val="20"/>
          <w:szCs w:val="20"/>
          <w:lang w:val="en-US"/>
        </w:rPr>
        <w:t>Sala</w:t>
      </w:r>
      <w:proofErr w:type="spellEnd"/>
      <w:r w:rsidRPr="002A7CD1">
        <w:rPr>
          <w:rFonts w:ascii="Arial Narrow" w:hAnsi="Arial Narrow"/>
          <w:sz w:val="20"/>
          <w:szCs w:val="20"/>
          <w:lang w:val="ru-RU"/>
        </w:rPr>
        <w:t xml:space="preserve"> [1998]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-2691,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61. Законното пребиваване на територията на друга държава-членка е достатъчно. Не е необходимо гражданинът в действителност да се е преместил от една държава-членка в друга: виж дело </w:t>
      </w:r>
      <w:r w:rsidRPr="002A7CD1">
        <w:rPr>
          <w:rFonts w:ascii="Arial Narrow" w:hAnsi="Arial Narrow"/>
          <w:sz w:val="20"/>
          <w:szCs w:val="20"/>
          <w:lang w:val="en-US"/>
        </w:rPr>
        <w:t>C</w:t>
      </w:r>
      <w:r w:rsidRPr="002A7CD1">
        <w:rPr>
          <w:rFonts w:ascii="Arial Narrow" w:hAnsi="Arial Narrow"/>
          <w:sz w:val="20"/>
          <w:szCs w:val="20"/>
          <w:lang w:val="ru-RU"/>
        </w:rPr>
        <w:t xml:space="preserve">-148/02 </w:t>
      </w:r>
      <w:r w:rsidRPr="002A7CD1">
        <w:rPr>
          <w:rFonts w:ascii="Arial Narrow" w:hAnsi="Arial Narrow"/>
          <w:i/>
          <w:sz w:val="20"/>
          <w:szCs w:val="20"/>
          <w:lang w:val="en-US"/>
        </w:rPr>
        <w:t>Garcia</w:t>
      </w:r>
      <w:r w:rsidRPr="002A7CD1">
        <w:rPr>
          <w:rFonts w:ascii="Arial Narrow" w:hAnsi="Arial Narrow"/>
          <w:i/>
          <w:sz w:val="20"/>
          <w:szCs w:val="20"/>
          <w:lang w:val="ru-RU"/>
        </w:rPr>
        <w:t xml:space="preserve"> </w:t>
      </w:r>
      <w:proofErr w:type="spellStart"/>
      <w:r w:rsidRPr="002A7CD1">
        <w:rPr>
          <w:rFonts w:ascii="Arial Narrow" w:hAnsi="Arial Narrow"/>
          <w:i/>
          <w:sz w:val="20"/>
          <w:szCs w:val="20"/>
          <w:lang w:val="en-US"/>
        </w:rPr>
        <w:t>Avello</w:t>
      </w:r>
      <w:proofErr w:type="spellEnd"/>
      <w:r w:rsidRPr="002A7CD1">
        <w:rPr>
          <w:rFonts w:ascii="Arial Narrow" w:hAnsi="Arial Narrow"/>
          <w:sz w:val="20"/>
          <w:szCs w:val="20"/>
          <w:lang w:val="ru-RU"/>
        </w:rPr>
        <w:t xml:space="preserve"> [2003]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-11613,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13 и 27; дело </w:t>
      </w:r>
      <w:r w:rsidRPr="002A7CD1">
        <w:rPr>
          <w:rFonts w:ascii="Arial Narrow" w:hAnsi="Arial Narrow"/>
          <w:sz w:val="20"/>
          <w:szCs w:val="20"/>
          <w:lang w:val="en-US"/>
        </w:rPr>
        <w:t>C</w:t>
      </w:r>
      <w:r w:rsidRPr="002A7CD1">
        <w:rPr>
          <w:rFonts w:ascii="Arial Narrow" w:hAnsi="Arial Narrow"/>
          <w:sz w:val="20"/>
          <w:szCs w:val="20"/>
          <w:lang w:val="ru-RU"/>
        </w:rPr>
        <w:t xml:space="preserve">-200/02 </w:t>
      </w:r>
      <w:r w:rsidRPr="002A7CD1">
        <w:rPr>
          <w:rFonts w:ascii="Arial Narrow" w:hAnsi="Arial Narrow"/>
          <w:i/>
          <w:sz w:val="20"/>
          <w:szCs w:val="20"/>
          <w:lang w:val="en-US"/>
        </w:rPr>
        <w:t>Zhu</w:t>
      </w:r>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Chen</w:t>
      </w:r>
      <w:r w:rsidRPr="002A7CD1">
        <w:rPr>
          <w:rFonts w:ascii="Arial Narrow" w:hAnsi="Arial Narrow"/>
          <w:sz w:val="20"/>
          <w:szCs w:val="20"/>
          <w:lang w:val="ru-RU"/>
        </w:rPr>
        <w:t xml:space="preserve"> [2004]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-9925,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23.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57</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rPr>
        <w:t xml:space="preserve">-403/03 </w:t>
      </w:r>
      <w:proofErr w:type="spellStart"/>
      <w:r w:rsidRPr="002A7CD1">
        <w:rPr>
          <w:rFonts w:ascii="Arial Narrow" w:hAnsi="Arial Narrow"/>
          <w:i/>
          <w:sz w:val="20"/>
          <w:szCs w:val="20"/>
          <w:lang w:val="en-US"/>
        </w:rPr>
        <w:t>Schempp</w:t>
      </w:r>
      <w:proofErr w:type="spellEnd"/>
      <w:r w:rsidRPr="002A7CD1">
        <w:rPr>
          <w:rFonts w:ascii="Arial Narrow" w:hAnsi="Arial Narrow"/>
          <w:sz w:val="20"/>
          <w:szCs w:val="20"/>
        </w:rPr>
        <w:t xml:space="preserve"> [2005]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-6421,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22-25. </w:t>
      </w:r>
    </w:p>
    <w:p w:rsidR="007B37A0" w:rsidRPr="002A7CD1" w:rsidRDefault="007B37A0" w:rsidP="002A7CD1">
      <w:pPr>
        <w:spacing w:after="0" w:line="240" w:lineRule="auto"/>
        <w:ind w:right="-360" w:firstLine="540"/>
        <w:rPr>
          <w:rFonts w:ascii="Arial Narrow" w:hAnsi="Arial Narrow"/>
          <w:sz w:val="20"/>
          <w:szCs w:val="20"/>
          <w:lang w:val="en-US"/>
        </w:rPr>
      </w:pPr>
      <w:r w:rsidRPr="002A7CD1">
        <w:rPr>
          <w:rFonts w:ascii="Arial Narrow" w:hAnsi="Arial Narrow"/>
          <w:sz w:val="20"/>
          <w:szCs w:val="20"/>
          <w:vertAlign w:val="superscript"/>
        </w:rPr>
        <w:t>58</w:t>
      </w:r>
      <w:r w:rsidRPr="002A7CD1">
        <w:rPr>
          <w:rFonts w:ascii="Arial Narrow" w:hAnsi="Arial Narrow"/>
          <w:sz w:val="20"/>
          <w:szCs w:val="20"/>
        </w:rPr>
        <w:t xml:space="preserve"> Виж </w:t>
      </w:r>
      <w:r w:rsidRPr="002A7CD1">
        <w:rPr>
          <w:rFonts w:ascii="Arial Narrow" w:hAnsi="Arial Narrow"/>
          <w:sz w:val="20"/>
          <w:szCs w:val="20"/>
          <w:lang w:val="en-US"/>
        </w:rPr>
        <w:t xml:space="preserve">K.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5, 162, </w:t>
      </w:r>
      <w:r w:rsidRPr="002A7CD1">
        <w:rPr>
          <w:rFonts w:ascii="Arial Narrow" w:hAnsi="Arial Narrow" w:cs="Calibri"/>
          <w:sz w:val="20"/>
          <w:szCs w:val="20"/>
        </w:rPr>
        <w:t>§</w:t>
      </w:r>
      <w:r w:rsidRPr="002A7CD1">
        <w:rPr>
          <w:rFonts w:ascii="Arial Narrow" w:hAnsi="Arial Narrow"/>
          <w:sz w:val="20"/>
          <w:szCs w:val="20"/>
        </w:rPr>
        <w:t xml:space="preserve"> 7-055.</w:t>
      </w:r>
      <w:proofErr w:type="gramEnd"/>
      <w:r w:rsidRPr="002A7CD1">
        <w:rPr>
          <w:rFonts w:ascii="Arial Narrow" w:hAnsi="Arial Narrow"/>
          <w:sz w:val="20"/>
          <w:szCs w:val="20"/>
        </w:rPr>
        <w:t xml:space="preserve"> Виж също </w:t>
      </w:r>
      <w:r w:rsidRPr="002A7CD1">
        <w:rPr>
          <w:rFonts w:ascii="Arial Narrow" w:hAnsi="Arial Narrow"/>
          <w:sz w:val="20"/>
          <w:szCs w:val="20"/>
          <w:lang w:val="en-US"/>
        </w:rPr>
        <w:t xml:space="preserve">K.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“European Union Citizenship, National Welfare Systems and Social Solidarity” (2011) 18 </w:t>
      </w:r>
      <w:proofErr w:type="spellStart"/>
      <w:r w:rsidRPr="002A7CD1">
        <w:rPr>
          <w:rFonts w:ascii="Arial Narrow" w:hAnsi="Arial Narrow"/>
          <w:i/>
          <w:sz w:val="20"/>
          <w:szCs w:val="20"/>
          <w:lang w:val="en-US"/>
        </w:rPr>
        <w:t>Jurisprudencija</w:t>
      </w:r>
      <w:proofErr w:type="spellEnd"/>
      <w:r w:rsidRPr="002A7CD1">
        <w:rPr>
          <w:rFonts w:ascii="Arial Narrow" w:hAnsi="Arial Narrow"/>
          <w:sz w:val="20"/>
          <w:szCs w:val="20"/>
          <w:lang w:val="en-US"/>
        </w:rPr>
        <w:t xml:space="preserve"> 397.</w:t>
      </w:r>
      <w:proofErr w:type="gramEnd"/>
      <w:r w:rsidRPr="002A7CD1">
        <w:rPr>
          <w:rFonts w:ascii="Arial Narrow" w:hAnsi="Arial Narrow"/>
          <w:sz w:val="20"/>
          <w:szCs w:val="20"/>
          <w:lang w:val="en-US"/>
        </w:rPr>
        <w:t xml:space="preserve"> </w:t>
      </w:r>
    </w:p>
    <w:p w:rsidR="007B37A0" w:rsidRPr="002A7CD1" w:rsidRDefault="007B37A0" w:rsidP="002A7CD1">
      <w:pPr>
        <w:spacing w:after="0" w:line="240" w:lineRule="auto"/>
        <w:ind w:right="-360" w:firstLine="540"/>
        <w:rPr>
          <w:rFonts w:ascii="Arial Narrow" w:hAnsi="Arial Narrow"/>
          <w:sz w:val="20"/>
          <w:szCs w:val="20"/>
          <w:lang w:val="en-US"/>
        </w:rPr>
      </w:pPr>
      <w:proofErr w:type="gramStart"/>
      <w:r w:rsidRPr="002A7CD1">
        <w:rPr>
          <w:rFonts w:ascii="Arial Narrow" w:hAnsi="Arial Narrow"/>
          <w:sz w:val="20"/>
          <w:szCs w:val="20"/>
          <w:vertAlign w:val="superscript"/>
          <w:lang w:val="en-US"/>
        </w:rPr>
        <w:t>59</w:t>
      </w:r>
      <w:r w:rsidRPr="002A7CD1">
        <w:rPr>
          <w:rFonts w:ascii="Arial Narrow" w:hAnsi="Arial Narrow"/>
          <w:sz w:val="20"/>
          <w:szCs w:val="20"/>
        </w:rPr>
        <w:t xml:space="preserve"> Дело </w:t>
      </w:r>
      <w:r w:rsidRPr="002A7CD1">
        <w:rPr>
          <w:rFonts w:ascii="Arial Narrow" w:hAnsi="Arial Narrow"/>
          <w:sz w:val="20"/>
          <w:szCs w:val="20"/>
          <w:lang w:val="en-US"/>
        </w:rPr>
        <w:t xml:space="preserve">C-73/08 </w:t>
      </w:r>
      <w:proofErr w:type="spellStart"/>
      <w:r w:rsidRPr="002A7CD1">
        <w:rPr>
          <w:rFonts w:ascii="Arial Narrow" w:hAnsi="Arial Narrow"/>
          <w:i/>
          <w:sz w:val="20"/>
          <w:szCs w:val="20"/>
          <w:lang w:val="en-US"/>
        </w:rPr>
        <w:t>Bressol</w:t>
      </w:r>
      <w:proofErr w:type="spellEnd"/>
      <w:r w:rsidRPr="002A7CD1">
        <w:rPr>
          <w:rFonts w:ascii="Arial Narrow" w:hAnsi="Arial Narrow"/>
          <w:i/>
          <w:sz w:val="20"/>
          <w:szCs w:val="20"/>
          <w:lang w:val="en-US"/>
        </w:rPr>
        <w:t xml:space="preserve"> and Others</w:t>
      </w:r>
      <w:r w:rsidRPr="002A7CD1">
        <w:rPr>
          <w:rFonts w:ascii="Arial Narrow" w:hAnsi="Arial Narrow"/>
          <w:sz w:val="20"/>
          <w:szCs w:val="20"/>
          <w:lang w:val="en-US"/>
        </w:rPr>
        <w:t xml:space="preserve"> [2010] E.C.R. I-2735.</w:t>
      </w:r>
      <w:proofErr w:type="gramEnd"/>
      <w:r w:rsidRPr="002A7CD1">
        <w:rPr>
          <w:rFonts w:ascii="Arial Narrow" w:hAnsi="Arial Narrow"/>
          <w:sz w:val="20"/>
          <w:szCs w:val="20"/>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60</w:t>
      </w:r>
      <w:r w:rsidRPr="002A7CD1">
        <w:rPr>
          <w:rFonts w:ascii="Arial Narrow" w:hAnsi="Arial Narrow"/>
          <w:sz w:val="20"/>
          <w:szCs w:val="20"/>
        </w:rPr>
        <w:t xml:space="preserve"> Тези девет програми били: бакалавър по физиотерапия и рехабилитация; бакалавър по ветеринарна медицина; бакалавър по акушерство; бакалавър по трудова терапия; бакалавър по </w:t>
      </w:r>
      <w:proofErr w:type="spellStart"/>
      <w:r w:rsidRPr="002A7CD1">
        <w:rPr>
          <w:rFonts w:ascii="Arial Narrow" w:hAnsi="Arial Narrow"/>
          <w:sz w:val="20"/>
          <w:szCs w:val="20"/>
        </w:rPr>
        <w:t>логопедична</w:t>
      </w:r>
      <w:proofErr w:type="spellEnd"/>
      <w:r w:rsidRPr="002A7CD1">
        <w:rPr>
          <w:rFonts w:ascii="Arial Narrow" w:hAnsi="Arial Narrow"/>
          <w:sz w:val="20"/>
          <w:szCs w:val="20"/>
        </w:rPr>
        <w:t xml:space="preserve"> терапия; бакалавър по </w:t>
      </w:r>
      <w:proofErr w:type="spellStart"/>
      <w:r w:rsidRPr="002A7CD1">
        <w:rPr>
          <w:rFonts w:ascii="Arial Narrow" w:hAnsi="Arial Narrow"/>
          <w:sz w:val="20"/>
          <w:szCs w:val="20"/>
        </w:rPr>
        <w:t>подиатрия</w:t>
      </w:r>
      <w:proofErr w:type="spellEnd"/>
      <w:r w:rsidRPr="002A7CD1">
        <w:rPr>
          <w:rFonts w:ascii="Arial Narrow" w:hAnsi="Arial Narrow"/>
          <w:sz w:val="20"/>
          <w:szCs w:val="20"/>
        </w:rPr>
        <w:t xml:space="preserve"> и педикюр; бакалавър </w:t>
      </w:r>
      <w:proofErr w:type="gramStart"/>
      <w:r w:rsidRPr="002A7CD1">
        <w:rPr>
          <w:rFonts w:ascii="Arial Narrow" w:hAnsi="Arial Narrow"/>
          <w:sz w:val="20"/>
          <w:szCs w:val="20"/>
        </w:rPr>
        <w:t>по</w:t>
      </w:r>
      <w:proofErr w:type="gramEnd"/>
      <w:r w:rsidRPr="002A7CD1">
        <w:rPr>
          <w:rFonts w:ascii="Arial Narrow" w:hAnsi="Arial Narrow"/>
          <w:sz w:val="20"/>
          <w:szCs w:val="20"/>
        </w:rPr>
        <w:t xml:space="preserve"> физиотерапия; бакалавър по </w:t>
      </w:r>
      <w:proofErr w:type="spellStart"/>
      <w:r w:rsidRPr="002A7CD1">
        <w:rPr>
          <w:rFonts w:ascii="Arial Narrow" w:hAnsi="Arial Narrow"/>
          <w:sz w:val="20"/>
          <w:szCs w:val="20"/>
        </w:rPr>
        <w:t>аудиология</w:t>
      </w:r>
      <w:proofErr w:type="spellEnd"/>
      <w:r w:rsidRPr="002A7CD1">
        <w:rPr>
          <w:rFonts w:ascii="Arial Narrow" w:hAnsi="Arial Narrow"/>
          <w:sz w:val="20"/>
          <w:szCs w:val="20"/>
        </w:rPr>
        <w:t xml:space="preserve">; педагог, специализиран в </w:t>
      </w:r>
      <w:proofErr w:type="spellStart"/>
      <w:r w:rsidRPr="002A7CD1">
        <w:rPr>
          <w:rFonts w:ascii="Arial Narrow" w:hAnsi="Arial Narrow"/>
          <w:sz w:val="20"/>
          <w:szCs w:val="20"/>
        </w:rPr>
        <w:t>психо-образователно</w:t>
      </w:r>
      <w:proofErr w:type="spellEnd"/>
      <w:r w:rsidRPr="002A7CD1">
        <w:rPr>
          <w:rFonts w:ascii="Arial Narrow" w:hAnsi="Arial Narrow"/>
          <w:sz w:val="20"/>
          <w:szCs w:val="20"/>
        </w:rPr>
        <w:t xml:space="preserve"> консултиране.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61</w:t>
      </w:r>
      <w:r w:rsidRPr="002A7CD1">
        <w:rPr>
          <w:rFonts w:ascii="Arial Narrow" w:hAnsi="Arial Narrow"/>
          <w:sz w:val="20"/>
          <w:szCs w:val="20"/>
        </w:rPr>
        <w:t xml:space="preserve"> Заключение на генералния адвокат </w:t>
      </w:r>
      <w:proofErr w:type="spellStart"/>
      <w:r w:rsidRPr="002A7CD1">
        <w:rPr>
          <w:rFonts w:ascii="Arial Narrow" w:hAnsi="Arial Narrow"/>
          <w:sz w:val="20"/>
          <w:szCs w:val="20"/>
        </w:rPr>
        <w:t>Шарпстън</w:t>
      </w:r>
      <w:proofErr w:type="spellEnd"/>
      <w:r w:rsidRPr="002A7CD1">
        <w:rPr>
          <w:rFonts w:ascii="Arial Narrow" w:hAnsi="Arial Narrow"/>
          <w:sz w:val="20"/>
          <w:szCs w:val="20"/>
        </w:rPr>
        <w:t xml:space="preserve"> по делото </w:t>
      </w:r>
      <w:proofErr w:type="spellStart"/>
      <w:r w:rsidRPr="002A7CD1">
        <w:rPr>
          <w:rFonts w:ascii="Arial Narrow" w:hAnsi="Arial Narrow"/>
          <w:i/>
          <w:sz w:val="20"/>
          <w:szCs w:val="20"/>
          <w:lang w:val="en-US"/>
        </w:rPr>
        <w:t>Bressol</w:t>
      </w:r>
      <w:proofErr w:type="spellEnd"/>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w:t>
      </w:r>
      <w:r w:rsidRPr="002A7CD1">
        <w:rPr>
          <w:rFonts w:ascii="Arial Narrow" w:hAnsi="Arial Narrow"/>
          <w:sz w:val="20"/>
          <w:szCs w:val="20"/>
        </w:rPr>
        <w:t xml:space="preserve">горе 59, </w:t>
      </w:r>
      <w:proofErr w:type="spellStart"/>
      <w:r w:rsidRPr="002A7CD1">
        <w:rPr>
          <w:rFonts w:ascii="Arial Narrow" w:hAnsi="Arial Narrow"/>
          <w:sz w:val="20"/>
          <w:szCs w:val="20"/>
        </w:rPr>
        <w:t>пар</w:t>
      </w:r>
      <w:proofErr w:type="spellEnd"/>
      <w:r w:rsidRPr="002A7CD1">
        <w:rPr>
          <w:rFonts w:ascii="Arial Narrow" w:hAnsi="Arial Narrow"/>
          <w:sz w:val="20"/>
          <w:szCs w:val="20"/>
        </w:rPr>
        <w:t>. 25.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62</w:t>
      </w:r>
      <w:r w:rsidRPr="002A7CD1">
        <w:rPr>
          <w:rFonts w:ascii="Arial Narrow" w:hAnsi="Arial Narrow"/>
          <w:sz w:val="20"/>
          <w:szCs w:val="20"/>
        </w:rPr>
        <w:t xml:space="preserve"> </w:t>
      </w:r>
      <w:proofErr w:type="spellStart"/>
      <w:r w:rsidRPr="002A7CD1">
        <w:rPr>
          <w:rFonts w:ascii="Arial Narrow" w:hAnsi="Arial Narrow"/>
          <w:i/>
          <w:sz w:val="20"/>
          <w:szCs w:val="20"/>
          <w:lang w:val="en-US"/>
        </w:rPr>
        <w:t>Bressol</w:t>
      </w:r>
      <w:proofErr w:type="spellEnd"/>
      <w:r w:rsidRPr="002A7CD1">
        <w:rPr>
          <w:rFonts w:ascii="Arial Narrow" w:hAnsi="Arial Narrow"/>
          <w:i/>
          <w:sz w:val="20"/>
          <w:szCs w:val="20"/>
          <w:lang w:val="en-US"/>
        </w:rPr>
        <w:t xml:space="preserve"> and Others</w:t>
      </w:r>
      <w:r w:rsidRPr="002A7CD1">
        <w:rPr>
          <w:rFonts w:ascii="Arial Narrow" w:hAnsi="Arial Narrow"/>
          <w:sz w:val="20"/>
          <w:szCs w:val="20"/>
          <w:lang w:val="en-US"/>
        </w:rPr>
        <w:t xml:space="preserve">, </w:t>
      </w:r>
      <w:r w:rsidRPr="002A7CD1">
        <w:rPr>
          <w:rFonts w:ascii="Arial Narrow" w:hAnsi="Arial Narrow"/>
          <w:sz w:val="20"/>
          <w:szCs w:val="20"/>
        </w:rPr>
        <w:t xml:space="preserve">горе 59, </w:t>
      </w:r>
      <w:proofErr w:type="spellStart"/>
      <w:r w:rsidRPr="002A7CD1">
        <w:rPr>
          <w:rFonts w:ascii="Arial Narrow" w:hAnsi="Arial Narrow"/>
          <w:sz w:val="20"/>
          <w:szCs w:val="20"/>
        </w:rPr>
        <w:t>пар</w:t>
      </w:r>
      <w:proofErr w:type="spellEnd"/>
      <w:r w:rsidRPr="002A7CD1">
        <w:rPr>
          <w:rFonts w:ascii="Arial Narrow" w:hAnsi="Arial Narrow"/>
          <w:sz w:val="20"/>
          <w:szCs w:val="20"/>
        </w:rPr>
        <w:t>. 28-29.</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63</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46.</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64</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50.</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65</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58.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66</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69.</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67</w:t>
      </w:r>
      <w:r w:rsidRPr="002A7CD1">
        <w:rPr>
          <w:rFonts w:ascii="Arial Narrow" w:hAnsi="Arial Narrow"/>
          <w:sz w:val="20"/>
          <w:szCs w:val="20"/>
        </w:rPr>
        <w:t xml:space="preserve"> За приложението на този алгоритъм за анализ от Белгийския конституционен съд, виж </w:t>
      </w:r>
      <w:r w:rsidRPr="002A7CD1">
        <w:rPr>
          <w:rFonts w:ascii="Arial Narrow" w:hAnsi="Arial Narrow"/>
          <w:sz w:val="20"/>
          <w:szCs w:val="20"/>
          <w:lang w:val="en-US"/>
        </w:rPr>
        <w:t>K</w:t>
      </w:r>
      <w:r w:rsidRPr="002A7CD1">
        <w:rPr>
          <w:rFonts w:ascii="Arial Narrow" w:hAnsi="Arial Narrow"/>
          <w:sz w:val="20"/>
          <w:szCs w:val="20"/>
        </w:rPr>
        <w:t xml:space="preserve">. </w:t>
      </w:r>
      <w:proofErr w:type="spellStart"/>
      <w:r w:rsidRPr="002A7CD1">
        <w:rPr>
          <w:rFonts w:ascii="Arial Narrow" w:hAnsi="Arial Narrow"/>
          <w:sz w:val="20"/>
          <w:szCs w:val="20"/>
          <w:lang w:val="en-US"/>
        </w:rPr>
        <w:t>Lenaerts</w:t>
      </w:r>
      <w:proofErr w:type="spellEnd"/>
      <w:r w:rsidRPr="002A7CD1">
        <w:rPr>
          <w:rFonts w:ascii="Arial Narrow" w:hAnsi="Arial Narrow"/>
          <w:sz w:val="20"/>
          <w:szCs w:val="20"/>
        </w:rPr>
        <w:t>, “</w:t>
      </w:r>
      <w:r w:rsidRPr="002A7CD1">
        <w:rPr>
          <w:rFonts w:ascii="Arial Narrow" w:hAnsi="Arial Narrow"/>
          <w:sz w:val="20"/>
          <w:szCs w:val="20"/>
          <w:lang w:val="en-US"/>
        </w:rPr>
        <w:t>How</w:t>
      </w:r>
      <w:r w:rsidRPr="002A7CD1">
        <w:rPr>
          <w:rFonts w:ascii="Arial Narrow" w:hAnsi="Arial Narrow"/>
          <w:sz w:val="20"/>
          <w:szCs w:val="20"/>
        </w:rPr>
        <w:t xml:space="preserve"> </w:t>
      </w:r>
      <w:r w:rsidRPr="002A7CD1">
        <w:rPr>
          <w:rFonts w:ascii="Arial Narrow" w:hAnsi="Arial Narrow"/>
          <w:sz w:val="20"/>
          <w:szCs w:val="20"/>
          <w:lang w:val="en-US"/>
        </w:rPr>
        <w:t>the</w:t>
      </w:r>
      <w:r w:rsidRPr="002A7CD1">
        <w:rPr>
          <w:rFonts w:ascii="Arial Narrow" w:hAnsi="Arial Narrow"/>
          <w:sz w:val="20"/>
          <w:szCs w:val="20"/>
        </w:rPr>
        <w:t xml:space="preserve"> </w:t>
      </w:r>
      <w:r w:rsidRPr="002A7CD1">
        <w:rPr>
          <w:rFonts w:ascii="Arial Narrow" w:hAnsi="Arial Narrow"/>
          <w:sz w:val="20"/>
          <w:szCs w:val="20"/>
          <w:lang w:val="en-US"/>
        </w:rPr>
        <w:t>ECJ</w:t>
      </w:r>
      <w:r w:rsidRPr="002A7CD1">
        <w:rPr>
          <w:rFonts w:ascii="Arial Narrow" w:hAnsi="Arial Narrow"/>
          <w:sz w:val="20"/>
          <w:szCs w:val="20"/>
        </w:rPr>
        <w:t xml:space="preserve"> </w:t>
      </w:r>
      <w:r w:rsidRPr="002A7CD1">
        <w:rPr>
          <w:rFonts w:ascii="Arial Narrow" w:hAnsi="Arial Narrow"/>
          <w:sz w:val="20"/>
          <w:szCs w:val="20"/>
          <w:lang w:val="en-US"/>
        </w:rPr>
        <w:t>thinks</w:t>
      </w:r>
      <w:r w:rsidRPr="002A7CD1">
        <w:rPr>
          <w:rFonts w:ascii="Arial Narrow" w:hAnsi="Arial Narrow"/>
          <w:sz w:val="20"/>
          <w:szCs w:val="20"/>
        </w:rPr>
        <w:t xml:space="preserve">: </w:t>
      </w:r>
      <w:r w:rsidRPr="002A7CD1">
        <w:rPr>
          <w:rFonts w:ascii="Arial Narrow" w:hAnsi="Arial Narrow"/>
          <w:sz w:val="20"/>
          <w:szCs w:val="20"/>
          <w:lang w:val="en-US"/>
        </w:rPr>
        <w:t>A</w:t>
      </w:r>
      <w:r w:rsidRPr="002A7CD1">
        <w:rPr>
          <w:rFonts w:ascii="Arial Narrow" w:hAnsi="Arial Narrow"/>
          <w:sz w:val="20"/>
          <w:szCs w:val="20"/>
        </w:rPr>
        <w:t xml:space="preserve"> </w:t>
      </w:r>
      <w:r w:rsidRPr="002A7CD1">
        <w:rPr>
          <w:rFonts w:ascii="Arial Narrow" w:hAnsi="Arial Narrow"/>
          <w:sz w:val="20"/>
          <w:szCs w:val="20"/>
          <w:lang w:val="en-US"/>
        </w:rPr>
        <w:t>Study</w:t>
      </w:r>
      <w:r w:rsidRPr="002A7CD1">
        <w:rPr>
          <w:rFonts w:ascii="Arial Narrow" w:hAnsi="Arial Narrow"/>
          <w:sz w:val="20"/>
          <w:szCs w:val="20"/>
        </w:rPr>
        <w:t xml:space="preserve"> </w:t>
      </w:r>
      <w:r w:rsidRPr="002A7CD1">
        <w:rPr>
          <w:rFonts w:ascii="Arial Narrow" w:hAnsi="Arial Narrow"/>
          <w:sz w:val="20"/>
          <w:szCs w:val="20"/>
          <w:lang w:val="en-US"/>
        </w:rPr>
        <w:t>on</w:t>
      </w:r>
      <w:r w:rsidRPr="002A7CD1">
        <w:rPr>
          <w:rFonts w:ascii="Arial Narrow" w:hAnsi="Arial Narrow"/>
          <w:sz w:val="20"/>
          <w:szCs w:val="20"/>
        </w:rPr>
        <w:t xml:space="preserve"> </w:t>
      </w:r>
      <w:r w:rsidRPr="002A7CD1">
        <w:rPr>
          <w:rFonts w:ascii="Arial Narrow" w:hAnsi="Arial Narrow"/>
          <w:sz w:val="20"/>
          <w:szCs w:val="20"/>
          <w:lang w:val="en-US"/>
        </w:rPr>
        <w:t>Judicial</w:t>
      </w:r>
      <w:r w:rsidRPr="002A7CD1">
        <w:rPr>
          <w:rFonts w:ascii="Arial Narrow" w:hAnsi="Arial Narrow"/>
          <w:sz w:val="20"/>
          <w:szCs w:val="20"/>
        </w:rPr>
        <w:t xml:space="preserve"> </w:t>
      </w:r>
      <w:r w:rsidRPr="002A7CD1">
        <w:rPr>
          <w:rFonts w:ascii="Arial Narrow" w:hAnsi="Arial Narrow"/>
          <w:sz w:val="20"/>
          <w:szCs w:val="20"/>
          <w:lang w:val="en-US"/>
        </w:rPr>
        <w:t>Legitimacy</w:t>
      </w:r>
      <w:r w:rsidRPr="002A7CD1">
        <w:rPr>
          <w:rFonts w:ascii="Arial Narrow" w:hAnsi="Arial Narrow"/>
          <w:sz w:val="20"/>
          <w:szCs w:val="20"/>
        </w:rPr>
        <w:t xml:space="preserve">” (2013) 36 </w:t>
      </w:r>
      <w:r w:rsidRPr="002A7CD1">
        <w:rPr>
          <w:rFonts w:ascii="Arial Narrow" w:hAnsi="Arial Narrow"/>
          <w:i/>
          <w:sz w:val="20"/>
          <w:szCs w:val="20"/>
          <w:lang w:val="en-US"/>
        </w:rPr>
        <w:t>Fordham</w:t>
      </w:r>
      <w:r w:rsidRPr="002A7CD1">
        <w:rPr>
          <w:rFonts w:ascii="Arial Narrow" w:hAnsi="Arial Narrow"/>
          <w:i/>
          <w:sz w:val="20"/>
          <w:szCs w:val="20"/>
        </w:rPr>
        <w:t xml:space="preserve"> </w:t>
      </w:r>
      <w:r w:rsidRPr="002A7CD1">
        <w:rPr>
          <w:rFonts w:ascii="Arial Narrow" w:hAnsi="Arial Narrow"/>
          <w:i/>
          <w:sz w:val="20"/>
          <w:szCs w:val="20"/>
          <w:lang w:val="en-US"/>
        </w:rPr>
        <w:t>International</w:t>
      </w:r>
      <w:r w:rsidRPr="002A7CD1">
        <w:rPr>
          <w:rFonts w:ascii="Arial Narrow" w:hAnsi="Arial Narrow"/>
          <w:i/>
          <w:sz w:val="20"/>
          <w:szCs w:val="20"/>
        </w:rPr>
        <w:t xml:space="preserve"> </w:t>
      </w:r>
      <w:r w:rsidRPr="002A7CD1">
        <w:rPr>
          <w:rFonts w:ascii="Arial Narrow" w:hAnsi="Arial Narrow"/>
          <w:i/>
          <w:sz w:val="20"/>
          <w:szCs w:val="20"/>
          <w:lang w:val="en-US"/>
        </w:rPr>
        <w:t>Law</w:t>
      </w:r>
      <w:r w:rsidRPr="002A7CD1">
        <w:rPr>
          <w:rFonts w:ascii="Arial Narrow" w:hAnsi="Arial Narrow"/>
          <w:i/>
          <w:sz w:val="20"/>
          <w:szCs w:val="20"/>
        </w:rPr>
        <w:t xml:space="preserve"> </w:t>
      </w:r>
      <w:r w:rsidRPr="002A7CD1">
        <w:rPr>
          <w:rFonts w:ascii="Arial Narrow" w:hAnsi="Arial Narrow"/>
          <w:i/>
          <w:sz w:val="20"/>
          <w:szCs w:val="20"/>
          <w:lang w:val="en-US"/>
        </w:rPr>
        <w:t>Journal</w:t>
      </w:r>
      <w:r w:rsidRPr="002A7CD1">
        <w:rPr>
          <w:rFonts w:ascii="Arial Narrow" w:hAnsi="Arial Narrow"/>
          <w:sz w:val="20"/>
          <w:szCs w:val="20"/>
        </w:rPr>
        <w:t xml:space="preserve"> (предстоящо).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68</w:t>
      </w:r>
      <w:r w:rsidRPr="002A7CD1">
        <w:rPr>
          <w:rFonts w:ascii="Arial Narrow" w:hAnsi="Arial Narrow"/>
          <w:sz w:val="20"/>
          <w:szCs w:val="20"/>
        </w:rPr>
        <w:t xml:space="preserve"> В допълнение, чл. 9 ДЕС оповестява основния принцип на равенство между гражданите на Съюза пред Съюзните институции, органи, служби и агенции (принцип на демократично равенство).</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69</w:t>
      </w:r>
      <w:r w:rsidRPr="002A7CD1">
        <w:rPr>
          <w:rFonts w:ascii="Arial Narrow" w:hAnsi="Arial Narrow"/>
          <w:sz w:val="20"/>
          <w:szCs w:val="20"/>
        </w:rPr>
        <w:t xml:space="preserve"> Директива 2000/43/ЕС на Съвета от 29.06.2000г., осъществяваща принципа на равно третиране между хората, независимо от тяхната раса или етнически произход, </w:t>
      </w:r>
      <w:r w:rsidRPr="002A7CD1">
        <w:rPr>
          <w:rFonts w:ascii="Arial Narrow" w:hAnsi="Arial Narrow"/>
          <w:sz w:val="20"/>
          <w:szCs w:val="20"/>
          <w:lang w:val="ru-RU"/>
        </w:rPr>
        <w:t xml:space="preserve">[2000]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180/22. </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lang w:val="ru-RU"/>
        </w:rPr>
        <w:lastRenderedPageBreak/>
        <w:t xml:space="preserve">70 </w:t>
      </w:r>
      <w:r w:rsidRPr="002A7CD1">
        <w:rPr>
          <w:rFonts w:ascii="Arial Narrow" w:hAnsi="Arial Narrow"/>
          <w:sz w:val="20"/>
          <w:szCs w:val="20"/>
        </w:rPr>
        <w:t xml:space="preserve">Директива 2000/78/ЕС на Съвета от 27.11.2000г. за създаване на основна рамка </w:t>
      </w:r>
      <w:proofErr w:type="gramStart"/>
      <w:r w:rsidRPr="002A7CD1">
        <w:rPr>
          <w:rFonts w:ascii="Arial Narrow" w:hAnsi="Arial Narrow"/>
          <w:sz w:val="20"/>
          <w:szCs w:val="20"/>
        </w:rPr>
        <w:t>за</w:t>
      </w:r>
      <w:proofErr w:type="gramEnd"/>
      <w:r w:rsidRPr="002A7CD1">
        <w:rPr>
          <w:rFonts w:ascii="Arial Narrow" w:hAnsi="Arial Narrow"/>
          <w:sz w:val="20"/>
          <w:szCs w:val="20"/>
        </w:rPr>
        <w:t xml:space="preserve"> равно третиране в областта на заетостта и професиите, </w:t>
      </w:r>
      <w:r w:rsidRPr="002A7CD1">
        <w:rPr>
          <w:rFonts w:ascii="Arial Narrow" w:hAnsi="Arial Narrow"/>
          <w:sz w:val="20"/>
          <w:szCs w:val="20"/>
          <w:lang w:val="ru-RU"/>
        </w:rPr>
        <w:t xml:space="preserve">[2000]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303/16. </w:t>
      </w:r>
      <w:r w:rsidRPr="002A7CD1">
        <w:rPr>
          <w:rFonts w:ascii="Arial Narrow" w:hAnsi="Arial Narrow"/>
          <w:sz w:val="20"/>
          <w:szCs w:val="20"/>
        </w:rPr>
        <w:t xml:space="preserve">Виж също Решение </w:t>
      </w:r>
      <w:r w:rsidRPr="002A7CD1">
        <w:rPr>
          <w:rFonts w:ascii="Arial Narrow" w:hAnsi="Arial Narrow"/>
          <w:sz w:val="20"/>
          <w:szCs w:val="20"/>
          <w:lang w:val="en-US"/>
        </w:rPr>
        <w:t>N</w:t>
      </w:r>
      <w:r w:rsidRPr="002A7CD1">
        <w:rPr>
          <w:rFonts w:ascii="Arial Narrow" w:hAnsi="Arial Narrow"/>
          <w:sz w:val="20"/>
          <w:szCs w:val="20"/>
          <w:lang w:val="ru-RU"/>
        </w:rPr>
        <w:t xml:space="preserve"> </w:t>
      </w:r>
      <w:r w:rsidRPr="002A7CD1">
        <w:rPr>
          <w:rFonts w:ascii="Arial Narrow" w:hAnsi="Arial Narrow"/>
          <w:sz w:val="20"/>
          <w:szCs w:val="20"/>
        </w:rPr>
        <w:t xml:space="preserve">1672/2006/ЕС на Европейския парламент и на Съвета от 24.10.2006г. за въвеждане на </w:t>
      </w:r>
      <w:proofErr w:type="spellStart"/>
      <w:r w:rsidRPr="002A7CD1">
        <w:rPr>
          <w:rFonts w:ascii="Arial Narrow" w:hAnsi="Arial Narrow"/>
          <w:sz w:val="20"/>
          <w:szCs w:val="20"/>
        </w:rPr>
        <w:t>Общностна</w:t>
      </w:r>
      <w:proofErr w:type="spellEnd"/>
      <w:r w:rsidRPr="002A7CD1">
        <w:rPr>
          <w:rFonts w:ascii="Arial Narrow" w:hAnsi="Arial Narrow"/>
          <w:sz w:val="20"/>
          <w:szCs w:val="20"/>
        </w:rPr>
        <w:t xml:space="preserve"> програма за заетост и социална солидарност – прогрес, </w:t>
      </w:r>
      <w:r w:rsidRPr="002A7CD1">
        <w:rPr>
          <w:rFonts w:ascii="Arial Narrow" w:hAnsi="Arial Narrow"/>
          <w:sz w:val="20"/>
          <w:szCs w:val="20"/>
          <w:lang w:val="ru-RU"/>
        </w:rPr>
        <w:t xml:space="preserve">[2006]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315/1.</w:t>
      </w:r>
    </w:p>
    <w:p w:rsidR="007B37A0" w:rsidRPr="002A7CD1" w:rsidRDefault="007B37A0" w:rsidP="002A7CD1">
      <w:pPr>
        <w:spacing w:after="0" w:line="240" w:lineRule="auto"/>
        <w:ind w:right="-360" w:firstLine="540"/>
        <w:rPr>
          <w:rFonts w:ascii="Arial Narrow" w:hAnsi="Arial Narrow"/>
          <w:sz w:val="20"/>
          <w:szCs w:val="20"/>
          <w:lang w:val="en-US"/>
        </w:rPr>
      </w:pPr>
      <w:proofErr w:type="gramStart"/>
      <w:r w:rsidRPr="002A7CD1">
        <w:rPr>
          <w:rFonts w:ascii="Arial Narrow" w:hAnsi="Arial Narrow"/>
          <w:sz w:val="20"/>
          <w:szCs w:val="20"/>
          <w:vertAlign w:val="superscript"/>
          <w:lang w:val="en-US"/>
        </w:rPr>
        <w:t>71</w:t>
      </w:r>
      <w:r w:rsidRPr="002A7CD1">
        <w:rPr>
          <w:rFonts w:ascii="Arial Narrow" w:hAnsi="Arial Narrow"/>
          <w:sz w:val="20"/>
          <w:szCs w:val="20"/>
        </w:rPr>
        <w:t xml:space="preserve"> Виж</w:t>
      </w:r>
      <w:r w:rsidRPr="002A7CD1">
        <w:rPr>
          <w:rFonts w:ascii="Arial Narrow" w:hAnsi="Arial Narrow"/>
          <w:sz w:val="20"/>
          <w:szCs w:val="20"/>
          <w:lang w:val="en-US"/>
        </w:rPr>
        <w:t xml:space="preserve"> K. </w:t>
      </w:r>
      <w:proofErr w:type="spell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5, 167, </w:t>
      </w:r>
      <w:r w:rsidRPr="002A7CD1">
        <w:rPr>
          <w:rFonts w:ascii="Arial Narrow" w:hAnsi="Arial Narrow" w:cs="Calibri"/>
          <w:sz w:val="20"/>
          <w:szCs w:val="20"/>
        </w:rPr>
        <w:t>§</w:t>
      </w:r>
      <w:r w:rsidRPr="002A7CD1">
        <w:rPr>
          <w:rFonts w:ascii="Arial Narrow" w:hAnsi="Arial Narrow"/>
          <w:sz w:val="20"/>
          <w:szCs w:val="20"/>
        </w:rPr>
        <w:t xml:space="preserve"> 7-059.</w:t>
      </w:r>
      <w:proofErr w:type="gramEnd"/>
    </w:p>
    <w:p w:rsidR="007B37A0" w:rsidRPr="002A7CD1" w:rsidRDefault="007B37A0" w:rsidP="002A7CD1">
      <w:pPr>
        <w:spacing w:after="0" w:line="240" w:lineRule="auto"/>
        <w:ind w:right="-360" w:firstLine="540"/>
        <w:rPr>
          <w:rFonts w:ascii="Arial Narrow" w:hAnsi="Arial Narrow"/>
          <w:sz w:val="20"/>
          <w:szCs w:val="20"/>
          <w:lang w:val="ru-RU"/>
        </w:rPr>
      </w:pPr>
      <w:proofErr w:type="gramStart"/>
      <w:r w:rsidRPr="002A7CD1">
        <w:rPr>
          <w:rFonts w:ascii="Arial Narrow" w:hAnsi="Arial Narrow"/>
          <w:sz w:val="20"/>
          <w:szCs w:val="20"/>
          <w:vertAlign w:val="superscript"/>
          <w:lang w:val="ru-RU"/>
        </w:rPr>
        <w:t>72</w:t>
      </w:r>
      <w:r w:rsidRPr="002A7CD1">
        <w:rPr>
          <w:rFonts w:ascii="Arial Narrow" w:hAnsi="Arial Narrow"/>
          <w:sz w:val="20"/>
          <w:szCs w:val="20"/>
          <w:lang w:val="ru-RU"/>
        </w:rPr>
        <w:t xml:space="preserve"> </w:t>
      </w:r>
      <w:r w:rsidRPr="002A7CD1">
        <w:rPr>
          <w:rFonts w:ascii="Arial Narrow" w:hAnsi="Arial Narrow"/>
          <w:sz w:val="20"/>
          <w:szCs w:val="20"/>
        </w:rPr>
        <w:t xml:space="preserve">Виж Програма за действие на Общността за насърчаване на организации, активни на европейско ниво, в сферата на равноправието между мъже и жени, създадена въз основа на Решение </w:t>
      </w:r>
      <w:r w:rsidRPr="002A7CD1">
        <w:rPr>
          <w:rFonts w:ascii="Arial Narrow" w:hAnsi="Arial Narrow"/>
          <w:sz w:val="20"/>
          <w:szCs w:val="20"/>
          <w:lang w:val="en-US"/>
        </w:rPr>
        <w:t>N</w:t>
      </w:r>
      <w:r w:rsidRPr="002A7CD1">
        <w:rPr>
          <w:rFonts w:ascii="Arial Narrow" w:hAnsi="Arial Narrow"/>
          <w:sz w:val="20"/>
          <w:szCs w:val="20"/>
        </w:rPr>
        <w:t xml:space="preserve"> 848/2004/ЕС на Европейския парламент и на Съвета от 29.04.2004г., </w:t>
      </w:r>
      <w:r w:rsidRPr="002A7CD1">
        <w:rPr>
          <w:rFonts w:ascii="Arial Narrow" w:hAnsi="Arial Narrow"/>
          <w:sz w:val="20"/>
          <w:szCs w:val="20"/>
          <w:lang w:val="ru-RU"/>
        </w:rPr>
        <w:t xml:space="preserve">[2004] </w:t>
      </w:r>
      <w:r w:rsidRPr="002A7CD1">
        <w:rPr>
          <w:rFonts w:ascii="Arial Narrow" w:hAnsi="Arial Narrow"/>
          <w:sz w:val="20"/>
          <w:szCs w:val="20"/>
          <w:lang w:val="en-US"/>
        </w:rPr>
        <w:t>L</w:t>
      </w:r>
      <w:r w:rsidRPr="002A7CD1">
        <w:rPr>
          <w:rFonts w:ascii="Arial Narrow" w:hAnsi="Arial Narrow"/>
          <w:sz w:val="20"/>
          <w:szCs w:val="20"/>
          <w:lang w:val="ru-RU"/>
        </w:rPr>
        <w:t xml:space="preserve"> 157 (</w:t>
      </w:r>
      <w:r w:rsidRPr="002A7CD1">
        <w:rPr>
          <w:rFonts w:ascii="Arial Narrow" w:hAnsi="Arial Narrow"/>
          <w:sz w:val="20"/>
          <w:szCs w:val="20"/>
        </w:rPr>
        <w:t xml:space="preserve">преиздадена с поправка: </w:t>
      </w:r>
      <w:r w:rsidRPr="002A7CD1">
        <w:rPr>
          <w:rFonts w:ascii="Arial Narrow" w:hAnsi="Arial Narrow"/>
          <w:sz w:val="20"/>
          <w:szCs w:val="20"/>
          <w:lang w:val="ru-RU"/>
        </w:rPr>
        <w:t xml:space="preserve">[2004] </w:t>
      </w:r>
      <w:r w:rsidRPr="002A7CD1">
        <w:rPr>
          <w:rFonts w:ascii="Arial Narrow" w:hAnsi="Arial Narrow"/>
          <w:sz w:val="20"/>
          <w:szCs w:val="20"/>
          <w:lang w:val="en-US"/>
        </w:rPr>
        <w:t>L</w:t>
      </w:r>
      <w:r w:rsidRPr="002A7CD1">
        <w:rPr>
          <w:rFonts w:ascii="Arial Narrow" w:hAnsi="Arial Narrow"/>
          <w:sz w:val="20"/>
          <w:szCs w:val="20"/>
          <w:lang w:val="ru-RU"/>
        </w:rPr>
        <w:t xml:space="preserve"> 195/7).</w:t>
      </w:r>
      <w:proofErr w:type="gramEnd"/>
    </w:p>
    <w:p w:rsidR="007B37A0" w:rsidRPr="002A7CD1" w:rsidRDefault="007B37A0" w:rsidP="002A7CD1">
      <w:pPr>
        <w:spacing w:after="0" w:line="240" w:lineRule="auto"/>
        <w:ind w:right="-360" w:firstLine="540"/>
        <w:rPr>
          <w:rFonts w:ascii="Arial Narrow" w:hAnsi="Arial Narrow"/>
          <w:sz w:val="20"/>
          <w:szCs w:val="20"/>
        </w:rPr>
      </w:pPr>
      <w:proofErr w:type="gramStart"/>
      <w:r w:rsidRPr="002A7CD1">
        <w:rPr>
          <w:rFonts w:ascii="Arial Narrow" w:hAnsi="Arial Narrow"/>
          <w:sz w:val="20"/>
          <w:szCs w:val="20"/>
          <w:vertAlign w:val="superscript"/>
          <w:lang w:val="en-US"/>
        </w:rPr>
        <w:t>73</w:t>
      </w:r>
      <w:r w:rsidRPr="002A7CD1">
        <w:rPr>
          <w:rFonts w:ascii="Arial Narrow" w:hAnsi="Arial Narrow"/>
          <w:sz w:val="20"/>
          <w:szCs w:val="20"/>
          <w:lang w:val="en-US"/>
        </w:rPr>
        <w:t xml:space="preserve"> </w:t>
      </w:r>
      <w:r w:rsidRPr="002A7CD1">
        <w:rPr>
          <w:rFonts w:ascii="Arial Narrow" w:hAnsi="Arial Narrow"/>
          <w:sz w:val="20"/>
          <w:szCs w:val="20"/>
        </w:rPr>
        <w:t xml:space="preserve">Виж </w:t>
      </w:r>
      <w:r w:rsidRPr="002A7CD1">
        <w:rPr>
          <w:rFonts w:ascii="Arial Narrow" w:hAnsi="Arial Narrow"/>
          <w:sz w:val="20"/>
          <w:szCs w:val="20"/>
          <w:lang w:val="en-US"/>
        </w:rPr>
        <w:t xml:space="preserve">K. </w:t>
      </w:r>
      <w:proofErr w:type="spell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5, 168 и 169, </w:t>
      </w:r>
      <w:r w:rsidRPr="002A7CD1">
        <w:rPr>
          <w:rFonts w:ascii="Arial Narrow" w:hAnsi="Arial Narrow" w:cs="Calibri"/>
          <w:sz w:val="20"/>
          <w:szCs w:val="20"/>
        </w:rPr>
        <w:t>§</w:t>
      </w:r>
      <w:r w:rsidRPr="002A7CD1">
        <w:rPr>
          <w:rFonts w:ascii="Arial Narrow" w:hAnsi="Arial Narrow"/>
          <w:sz w:val="20"/>
          <w:szCs w:val="20"/>
        </w:rPr>
        <w:t xml:space="preserve"> 7-059.</w:t>
      </w:r>
      <w:proofErr w:type="gramEnd"/>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74</w:t>
      </w:r>
      <w:r w:rsidRPr="002A7CD1">
        <w:rPr>
          <w:rFonts w:ascii="Arial Narrow" w:hAnsi="Arial Narrow"/>
          <w:sz w:val="20"/>
          <w:szCs w:val="20"/>
        </w:rPr>
        <w:t xml:space="preserve"> </w:t>
      </w:r>
      <w:proofErr w:type="spellStart"/>
      <w:r w:rsidRPr="002A7CD1">
        <w:rPr>
          <w:rFonts w:ascii="Arial Narrow" w:hAnsi="Arial Narrow"/>
          <w:i/>
          <w:sz w:val="20"/>
          <w:szCs w:val="20"/>
          <w:lang w:val="en-US"/>
        </w:rPr>
        <w:t>Chatzi</w:t>
      </w:r>
      <w:proofErr w:type="spellEnd"/>
      <w:r w:rsidRPr="002A7CD1">
        <w:rPr>
          <w:rFonts w:ascii="Arial Narrow" w:hAnsi="Arial Narrow"/>
          <w:sz w:val="20"/>
          <w:szCs w:val="20"/>
          <w:lang w:val="ru-RU"/>
        </w:rPr>
        <w:t xml:space="preserve">, </w:t>
      </w:r>
      <w:r w:rsidRPr="002A7CD1">
        <w:rPr>
          <w:rFonts w:ascii="Arial Narrow" w:hAnsi="Arial Narrow"/>
          <w:sz w:val="20"/>
          <w:szCs w:val="20"/>
        </w:rPr>
        <w:t>горе 13.</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75</w:t>
      </w:r>
      <w:r w:rsidRPr="002A7CD1">
        <w:rPr>
          <w:rFonts w:ascii="Arial Narrow" w:hAnsi="Arial Narrow"/>
          <w:sz w:val="20"/>
          <w:szCs w:val="20"/>
        </w:rPr>
        <w:t xml:space="preserve"> Рамковото споразумение за родителски отпуск, сключено между Съюза на конфедерациите на индустриалците и на работодателите в Европа (</w:t>
      </w:r>
      <w:r w:rsidRPr="002A7CD1">
        <w:rPr>
          <w:rFonts w:ascii="Arial Narrow" w:hAnsi="Arial Narrow"/>
          <w:sz w:val="20"/>
          <w:szCs w:val="20"/>
          <w:lang w:val="en-US"/>
        </w:rPr>
        <w:t>UNICE</w:t>
      </w:r>
      <w:r w:rsidRPr="002A7CD1">
        <w:rPr>
          <w:rFonts w:ascii="Arial Narrow" w:hAnsi="Arial Narrow"/>
          <w:sz w:val="20"/>
          <w:szCs w:val="20"/>
        </w:rPr>
        <w:t>)</w:t>
      </w:r>
      <w:r w:rsidRPr="002A7CD1">
        <w:rPr>
          <w:rFonts w:ascii="Arial Narrow" w:hAnsi="Arial Narrow"/>
          <w:sz w:val="20"/>
          <w:szCs w:val="20"/>
          <w:lang w:val="ru-RU"/>
        </w:rPr>
        <w:t>,</w:t>
      </w:r>
      <w:r w:rsidRPr="002A7CD1">
        <w:rPr>
          <w:rFonts w:ascii="Arial Narrow" w:hAnsi="Arial Narrow"/>
          <w:sz w:val="20"/>
          <w:szCs w:val="20"/>
        </w:rPr>
        <w:t xml:space="preserve"> Европейския център на предприятията с държавно участие (</w:t>
      </w:r>
      <w:r w:rsidRPr="002A7CD1">
        <w:rPr>
          <w:rFonts w:ascii="Arial Narrow" w:hAnsi="Arial Narrow"/>
          <w:sz w:val="20"/>
          <w:szCs w:val="20"/>
          <w:lang w:val="en-US"/>
        </w:rPr>
        <w:t>CEEP</w:t>
      </w:r>
      <w:r w:rsidRPr="002A7CD1">
        <w:rPr>
          <w:rFonts w:ascii="Arial Narrow" w:hAnsi="Arial Narrow"/>
          <w:sz w:val="20"/>
          <w:szCs w:val="20"/>
        </w:rPr>
        <w:t>)</w:t>
      </w:r>
      <w:r w:rsidRPr="002A7CD1">
        <w:rPr>
          <w:rFonts w:ascii="Arial Narrow" w:hAnsi="Arial Narrow"/>
          <w:sz w:val="20"/>
          <w:szCs w:val="20"/>
          <w:lang w:val="ru-RU"/>
        </w:rPr>
        <w:t xml:space="preserve"> </w:t>
      </w:r>
      <w:r w:rsidRPr="002A7CD1">
        <w:rPr>
          <w:rFonts w:ascii="Arial Narrow" w:hAnsi="Arial Narrow"/>
          <w:sz w:val="20"/>
          <w:szCs w:val="20"/>
        </w:rPr>
        <w:t>и Европейската конфедерация на профсъюзите (</w:t>
      </w:r>
      <w:r w:rsidRPr="002A7CD1">
        <w:rPr>
          <w:rFonts w:ascii="Arial Narrow" w:hAnsi="Arial Narrow"/>
          <w:sz w:val="20"/>
          <w:szCs w:val="20"/>
          <w:lang w:val="en-US"/>
        </w:rPr>
        <w:t>ETUC</w:t>
      </w:r>
      <w:r w:rsidRPr="002A7CD1">
        <w:rPr>
          <w:rFonts w:ascii="Arial Narrow" w:hAnsi="Arial Narrow"/>
          <w:sz w:val="20"/>
          <w:szCs w:val="20"/>
        </w:rPr>
        <w:t>)</w:t>
      </w:r>
      <w:r w:rsidRPr="002A7CD1">
        <w:rPr>
          <w:rFonts w:ascii="Arial Narrow" w:hAnsi="Arial Narrow"/>
          <w:sz w:val="20"/>
          <w:szCs w:val="20"/>
          <w:lang w:val="ru-RU"/>
        </w:rPr>
        <w:t xml:space="preserve">, [1996]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145/4, </w:t>
      </w:r>
      <w:r w:rsidRPr="002A7CD1">
        <w:rPr>
          <w:rFonts w:ascii="Arial Narrow" w:hAnsi="Arial Narrow"/>
          <w:sz w:val="20"/>
          <w:szCs w:val="20"/>
        </w:rPr>
        <w:t xml:space="preserve">както е изменено с Директива 97/75/ЕС на Съвета от 15.12.1997г., </w:t>
      </w:r>
      <w:r w:rsidRPr="002A7CD1">
        <w:rPr>
          <w:rFonts w:ascii="Arial Narrow" w:hAnsi="Arial Narrow"/>
          <w:sz w:val="20"/>
          <w:szCs w:val="20"/>
          <w:lang w:val="ru-RU"/>
        </w:rPr>
        <w:t xml:space="preserve">[1998]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10/24.</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76</w:t>
      </w:r>
      <w:r w:rsidRPr="002A7CD1">
        <w:rPr>
          <w:rFonts w:ascii="Arial Narrow" w:hAnsi="Arial Narrow"/>
          <w:sz w:val="20"/>
          <w:szCs w:val="20"/>
          <w:lang w:val="ru-RU"/>
        </w:rPr>
        <w:t xml:space="preserve"> </w:t>
      </w:r>
      <w:proofErr w:type="spellStart"/>
      <w:r w:rsidRPr="002A7CD1">
        <w:rPr>
          <w:rFonts w:ascii="Arial Narrow" w:hAnsi="Arial Narrow"/>
          <w:i/>
          <w:sz w:val="20"/>
          <w:szCs w:val="20"/>
          <w:lang w:val="en-US"/>
        </w:rPr>
        <w:t>Chatzi</w:t>
      </w:r>
      <w:proofErr w:type="spellEnd"/>
      <w:r w:rsidRPr="002A7CD1">
        <w:rPr>
          <w:rFonts w:ascii="Arial Narrow" w:hAnsi="Arial Narrow"/>
          <w:sz w:val="20"/>
          <w:szCs w:val="20"/>
          <w:lang w:val="ru-RU"/>
        </w:rPr>
        <w:t xml:space="preserve">, </w:t>
      </w:r>
      <w:r w:rsidRPr="002A7CD1">
        <w:rPr>
          <w:rFonts w:ascii="Arial Narrow" w:hAnsi="Arial Narrow"/>
          <w:sz w:val="20"/>
          <w:szCs w:val="20"/>
        </w:rPr>
        <w:t xml:space="preserve">горе 13, </w:t>
      </w:r>
      <w:proofErr w:type="spellStart"/>
      <w:r w:rsidRPr="002A7CD1">
        <w:rPr>
          <w:rFonts w:ascii="Arial Narrow" w:hAnsi="Arial Narrow"/>
          <w:sz w:val="20"/>
          <w:szCs w:val="20"/>
        </w:rPr>
        <w:t>пар</w:t>
      </w:r>
      <w:proofErr w:type="spellEnd"/>
      <w:r w:rsidRPr="002A7CD1">
        <w:rPr>
          <w:rFonts w:ascii="Arial Narrow" w:hAnsi="Arial Narrow"/>
          <w:sz w:val="20"/>
          <w:szCs w:val="20"/>
        </w:rPr>
        <w:t>. 61.</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77</w:t>
      </w:r>
      <w:r w:rsidRPr="002A7CD1">
        <w:rPr>
          <w:rFonts w:ascii="Arial Narrow" w:hAnsi="Arial Narrow"/>
          <w:sz w:val="20"/>
          <w:szCs w:val="20"/>
          <w:lang w:val="ru-RU"/>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67.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78</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sz w:val="20"/>
          <w:szCs w:val="20"/>
          <w:lang w:val="ru-RU"/>
        </w:rPr>
        <w:t xml:space="preserve">., </w:t>
      </w:r>
      <w:proofErr w:type="spellStart"/>
      <w:r w:rsidRPr="002A7CD1">
        <w:rPr>
          <w:rFonts w:ascii="Arial Narrow" w:hAnsi="Arial Narrow"/>
          <w:sz w:val="20"/>
          <w:szCs w:val="20"/>
        </w:rPr>
        <w:t>пар</w:t>
      </w:r>
      <w:proofErr w:type="spellEnd"/>
      <w:r w:rsidRPr="002A7CD1">
        <w:rPr>
          <w:rFonts w:ascii="Arial Narrow" w:hAnsi="Arial Narrow"/>
          <w:sz w:val="20"/>
          <w:szCs w:val="20"/>
        </w:rPr>
        <w:t>. 75.</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79</w:t>
      </w:r>
      <w:r w:rsidRPr="002A7CD1">
        <w:rPr>
          <w:rFonts w:ascii="Arial Narrow" w:hAnsi="Arial Narrow"/>
          <w:sz w:val="20"/>
          <w:szCs w:val="20"/>
        </w:rPr>
        <w:t xml:space="preserve"> Дело С-101/08 </w:t>
      </w:r>
      <w:proofErr w:type="spellStart"/>
      <w:r w:rsidRPr="002A7CD1">
        <w:rPr>
          <w:rFonts w:ascii="Arial Narrow" w:hAnsi="Arial Narrow"/>
          <w:i/>
          <w:sz w:val="20"/>
          <w:szCs w:val="20"/>
          <w:lang w:val="en-US"/>
        </w:rPr>
        <w:t>Audiolux</w:t>
      </w:r>
      <w:proofErr w:type="spellEnd"/>
      <w:r w:rsidRPr="002A7CD1">
        <w:rPr>
          <w:rFonts w:ascii="Arial Narrow" w:hAnsi="Arial Narrow"/>
          <w:i/>
          <w:sz w:val="20"/>
          <w:szCs w:val="20"/>
          <w:lang w:val="ru-RU"/>
        </w:rPr>
        <w:t xml:space="preserve"> </w:t>
      </w:r>
      <w:r w:rsidRPr="002A7CD1">
        <w:rPr>
          <w:rFonts w:ascii="Arial Narrow" w:hAnsi="Arial Narrow"/>
          <w:i/>
          <w:sz w:val="20"/>
          <w:szCs w:val="20"/>
          <w:lang w:val="en-US"/>
        </w:rPr>
        <w:t>and</w:t>
      </w:r>
      <w:r w:rsidRPr="002A7CD1">
        <w:rPr>
          <w:rFonts w:ascii="Arial Narrow" w:hAnsi="Arial Narrow"/>
          <w:i/>
          <w:sz w:val="20"/>
          <w:szCs w:val="20"/>
          <w:lang w:val="ru-RU"/>
        </w:rPr>
        <w:t xml:space="preserve"> </w:t>
      </w:r>
      <w:r w:rsidRPr="002A7CD1">
        <w:rPr>
          <w:rFonts w:ascii="Arial Narrow" w:hAnsi="Arial Narrow"/>
          <w:i/>
          <w:sz w:val="20"/>
          <w:szCs w:val="20"/>
          <w:lang w:val="en-US"/>
        </w:rPr>
        <w:t>Others</w:t>
      </w:r>
      <w:r w:rsidRPr="002A7CD1">
        <w:rPr>
          <w:rFonts w:ascii="Arial Narrow" w:hAnsi="Arial Narrow"/>
          <w:sz w:val="20"/>
          <w:szCs w:val="20"/>
          <w:lang w:val="ru-RU"/>
        </w:rPr>
        <w:t xml:space="preserve"> [2009]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-9823 (</w:t>
      </w:r>
      <w:r w:rsidRPr="002A7CD1">
        <w:rPr>
          <w:rFonts w:ascii="Arial Narrow" w:hAnsi="Arial Narrow"/>
          <w:sz w:val="20"/>
          <w:szCs w:val="20"/>
        </w:rPr>
        <w:t>постановяващо, че предполагаемият принцип на равно третиране на миноритарните акционери не може да бъде признат за основен принцип на Правото на ЕС</w:t>
      </w:r>
      <w:r w:rsidRPr="002A7CD1">
        <w:rPr>
          <w:rFonts w:ascii="Arial Narrow" w:hAnsi="Arial Narrow"/>
          <w:sz w:val="20"/>
          <w:szCs w:val="20"/>
          <w:lang w:val="ru-RU"/>
        </w:rPr>
        <w:t>)</w:t>
      </w:r>
      <w:r w:rsidRPr="002A7CD1">
        <w:rPr>
          <w:rFonts w:ascii="Arial Narrow" w:hAnsi="Arial Narrow"/>
          <w:sz w:val="20"/>
          <w:szCs w:val="20"/>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80</w:t>
      </w:r>
      <w:r w:rsidRPr="002A7CD1">
        <w:rPr>
          <w:rFonts w:ascii="Arial Narrow" w:hAnsi="Arial Narrow"/>
          <w:sz w:val="20"/>
          <w:szCs w:val="20"/>
        </w:rPr>
        <w:t xml:space="preserve"> Дело С-174/08 </w:t>
      </w:r>
      <w:r w:rsidRPr="002A7CD1">
        <w:rPr>
          <w:rFonts w:ascii="Arial Narrow" w:hAnsi="Arial Narrow"/>
          <w:i/>
          <w:sz w:val="20"/>
          <w:szCs w:val="20"/>
          <w:lang w:val="en-US"/>
        </w:rPr>
        <w:t>NCC</w:t>
      </w:r>
      <w:r w:rsidRPr="002A7CD1">
        <w:rPr>
          <w:rFonts w:ascii="Arial Narrow" w:hAnsi="Arial Narrow"/>
          <w:i/>
          <w:sz w:val="20"/>
          <w:szCs w:val="20"/>
          <w:lang w:val="ru-RU"/>
        </w:rPr>
        <w:t xml:space="preserve"> </w:t>
      </w:r>
      <w:r w:rsidRPr="002A7CD1">
        <w:rPr>
          <w:rFonts w:ascii="Arial Narrow" w:hAnsi="Arial Narrow"/>
          <w:i/>
          <w:sz w:val="20"/>
          <w:szCs w:val="20"/>
          <w:lang w:val="en-US"/>
        </w:rPr>
        <w:t>Construction</w:t>
      </w:r>
      <w:r w:rsidRPr="002A7CD1">
        <w:rPr>
          <w:rFonts w:ascii="Arial Narrow" w:hAnsi="Arial Narrow"/>
          <w:i/>
          <w:sz w:val="20"/>
          <w:szCs w:val="20"/>
          <w:lang w:val="ru-RU"/>
        </w:rPr>
        <w:t xml:space="preserve"> </w:t>
      </w:r>
      <w:proofErr w:type="spellStart"/>
      <w:r w:rsidRPr="002A7CD1">
        <w:rPr>
          <w:rFonts w:ascii="Arial Narrow" w:hAnsi="Arial Narrow"/>
          <w:i/>
          <w:sz w:val="20"/>
          <w:szCs w:val="20"/>
          <w:lang w:val="en-US"/>
        </w:rPr>
        <w:t>Danmark</w:t>
      </w:r>
      <w:proofErr w:type="spellEnd"/>
      <w:r w:rsidRPr="002A7CD1">
        <w:rPr>
          <w:rFonts w:ascii="Arial Narrow" w:hAnsi="Arial Narrow"/>
          <w:sz w:val="20"/>
          <w:szCs w:val="20"/>
          <w:lang w:val="ru-RU"/>
        </w:rPr>
        <w:t xml:space="preserve"> [2009]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-10567 (</w:t>
      </w:r>
      <w:r w:rsidRPr="002A7CD1">
        <w:rPr>
          <w:rFonts w:ascii="Arial Narrow" w:hAnsi="Arial Narrow"/>
          <w:sz w:val="20"/>
          <w:szCs w:val="20"/>
        </w:rPr>
        <w:t>приема, че основният принцип на равенство, тълкуван в контекста на общата система на ДДС, поставя единственото изискване за Дания да третира подобните икономически оператори еднакво</w:t>
      </w:r>
      <w:r w:rsidRPr="002A7CD1">
        <w:rPr>
          <w:rFonts w:ascii="Arial Narrow" w:hAnsi="Arial Narrow"/>
          <w:sz w:val="20"/>
          <w:szCs w:val="20"/>
          <w:lang w:val="ru-RU"/>
        </w:rPr>
        <w:t>)</w:t>
      </w:r>
      <w:r w:rsidRPr="002A7CD1">
        <w:rPr>
          <w:rFonts w:ascii="Arial Narrow" w:hAnsi="Arial Narrow"/>
          <w:sz w:val="20"/>
          <w:szCs w:val="20"/>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81</w:t>
      </w:r>
      <w:r w:rsidRPr="002A7CD1">
        <w:rPr>
          <w:rFonts w:ascii="Arial Narrow" w:hAnsi="Arial Narrow"/>
          <w:sz w:val="20"/>
          <w:szCs w:val="20"/>
        </w:rPr>
        <w:t xml:space="preserve"> За подробен анализ на тези две решения, виж </w:t>
      </w:r>
      <w:r w:rsidRPr="002A7CD1">
        <w:rPr>
          <w:rFonts w:ascii="Arial Narrow" w:hAnsi="Arial Narrow"/>
          <w:sz w:val="20"/>
          <w:szCs w:val="20"/>
          <w:lang w:val="en-US"/>
        </w:rPr>
        <w:t>K</w:t>
      </w:r>
      <w:r w:rsidRPr="002A7CD1">
        <w:rPr>
          <w:rFonts w:ascii="Arial Narrow" w:hAnsi="Arial Narrow"/>
          <w:sz w:val="20"/>
          <w:szCs w:val="20"/>
          <w:lang w:val="ru-RU"/>
        </w:rPr>
        <w:t xml:space="preserve">.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ru-RU"/>
        </w:rPr>
        <w:t xml:space="preserve"> </w:t>
      </w:r>
      <w:r w:rsidRPr="002A7CD1">
        <w:rPr>
          <w:rFonts w:ascii="Arial Narrow" w:hAnsi="Arial Narrow"/>
          <w:sz w:val="20"/>
          <w:szCs w:val="20"/>
          <w:lang w:val="en-US"/>
        </w:rPr>
        <w:t>and</w:t>
      </w:r>
      <w:r w:rsidRPr="002A7CD1">
        <w:rPr>
          <w:rFonts w:ascii="Arial Narrow" w:hAnsi="Arial Narrow"/>
          <w:sz w:val="20"/>
          <w:szCs w:val="20"/>
          <w:lang w:val="ru-RU"/>
        </w:rPr>
        <w:t xml:space="preserve"> </w:t>
      </w:r>
      <w:r w:rsidRPr="002A7CD1">
        <w:rPr>
          <w:rFonts w:ascii="Arial Narrow" w:hAnsi="Arial Narrow"/>
          <w:sz w:val="20"/>
          <w:szCs w:val="20"/>
          <w:lang w:val="en-US"/>
        </w:rPr>
        <w:t>J</w:t>
      </w:r>
      <w:r w:rsidRPr="002A7CD1">
        <w:rPr>
          <w:rFonts w:ascii="Arial Narrow" w:hAnsi="Arial Narrow"/>
          <w:sz w:val="20"/>
          <w:szCs w:val="20"/>
          <w:lang w:val="ru-RU"/>
        </w:rPr>
        <w:t xml:space="preserve">. </w:t>
      </w:r>
      <w:r w:rsidRPr="002A7CD1">
        <w:rPr>
          <w:rFonts w:ascii="Arial Narrow" w:hAnsi="Arial Narrow"/>
          <w:sz w:val="20"/>
          <w:szCs w:val="20"/>
          <w:lang w:val="en-US"/>
        </w:rPr>
        <w:t>A</w:t>
      </w:r>
      <w:r w:rsidRPr="002A7CD1">
        <w:rPr>
          <w:rFonts w:ascii="Arial Narrow" w:hAnsi="Arial Narrow"/>
          <w:sz w:val="20"/>
          <w:szCs w:val="20"/>
          <w:lang w:val="ru-RU"/>
        </w:rPr>
        <w:t xml:space="preserve">. </w:t>
      </w:r>
      <w:proofErr w:type="spellStart"/>
      <w:r w:rsidRPr="002A7CD1">
        <w:rPr>
          <w:rFonts w:ascii="Arial Narrow" w:hAnsi="Arial Narrow"/>
          <w:sz w:val="20"/>
          <w:szCs w:val="20"/>
          <w:lang w:val="en-US"/>
        </w:rPr>
        <w:t>Guti</w:t>
      </w:r>
      <w:r w:rsidRPr="002A7CD1">
        <w:rPr>
          <w:rFonts w:ascii="Arial Narrow" w:hAnsi="Arial Narrow"/>
          <w:sz w:val="20"/>
          <w:szCs w:val="20"/>
          <w:lang w:val="ru-RU"/>
        </w:rPr>
        <w:t>é</w:t>
      </w:r>
      <w:r w:rsidRPr="002A7CD1">
        <w:rPr>
          <w:rFonts w:ascii="Arial Narrow" w:hAnsi="Arial Narrow"/>
          <w:sz w:val="20"/>
          <w:szCs w:val="20"/>
          <w:lang w:val="en-US"/>
        </w:rPr>
        <w:t>rrez</w:t>
      </w:r>
      <w:proofErr w:type="spellEnd"/>
      <w:r w:rsidRPr="002A7CD1">
        <w:rPr>
          <w:rFonts w:ascii="Arial Narrow" w:hAnsi="Arial Narrow"/>
          <w:sz w:val="20"/>
          <w:szCs w:val="20"/>
          <w:lang w:val="ru-RU"/>
        </w:rPr>
        <w:t>-</w:t>
      </w:r>
      <w:proofErr w:type="spellStart"/>
      <w:r w:rsidRPr="002A7CD1">
        <w:rPr>
          <w:rFonts w:ascii="Arial Narrow" w:hAnsi="Arial Narrow"/>
          <w:sz w:val="20"/>
          <w:szCs w:val="20"/>
          <w:lang w:val="en-US"/>
        </w:rPr>
        <w:t>Fons</w:t>
      </w:r>
      <w:proofErr w:type="spellEnd"/>
      <w:r w:rsidRPr="002A7CD1">
        <w:rPr>
          <w:rFonts w:ascii="Arial Narrow" w:hAnsi="Arial Narrow"/>
          <w:sz w:val="20"/>
          <w:szCs w:val="20"/>
          <w:lang w:val="ru-RU"/>
        </w:rPr>
        <w:t xml:space="preserve">, </w:t>
      </w:r>
      <w:r w:rsidRPr="002A7CD1">
        <w:rPr>
          <w:rFonts w:ascii="Arial Narrow" w:hAnsi="Arial Narrow"/>
          <w:sz w:val="20"/>
          <w:szCs w:val="20"/>
        </w:rPr>
        <w:t>горе 43, 1660 и сл.</w:t>
      </w:r>
      <w:proofErr w:type="gramEnd"/>
      <w:r w:rsidRPr="002A7CD1">
        <w:rPr>
          <w:rFonts w:ascii="Arial Narrow" w:hAnsi="Arial Narrow"/>
          <w:sz w:val="20"/>
          <w:szCs w:val="20"/>
        </w:rPr>
        <w:t xml:space="preserve">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82</w:t>
      </w:r>
      <w:r w:rsidRPr="002A7CD1">
        <w:rPr>
          <w:rFonts w:ascii="Arial Narrow" w:hAnsi="Arial Narrow"/>
          <w:sz w:val="20"/>
          <w:szCs w:val="20"/>
        </w:rPr>
        <w:t xml:space="preserve"> Свързани дела </w:t>
      </w:r>
      <w:r w:rsidRPr="002A7CD1">
        <w:rPr>
          <w:rFonts w:ascii="Arial Narrow" w:hAnsi="Arial Narrow"/>
          <w:sz w:val="20"/>
          <w:szCs w:val="20"/>
          <w:lang w:val="en-US"/>
        </w:rPr>
        <w:t>C</w:t>
      </w:r>
      <w:r w:rsidRPr="002A7CD1">
        <w:rPr>
          <w:rFonts w:ascii="Arial Narrow" w:hAnsi="Arial Narrow"/>
          <w:sz w:val="20"/>
          <w:szCs w:val="20"/>
        </w:rPr>
        <w:t xml:space="preserve">-22/08 и </w:t>
      </w:r>
      <w:r w:rsidRPr="002A7CD1">
        <w:rPr>
          <w:rFonts w:ascii="Arial Narrow" w:hAnsi="Arial Narrow"/>
          <w:sz w:val="20"/>
          <w:szCs w:val="20"/>
          <w:lang w:val="en-US"/>
        </w:rPr>
        <w:t>C</w:t>
      </w:r>
      <w:r w:rsidRPr="002A7CD1">
        <w:rPr>
          <w:rFonts w:ascii="Arial Narrow" w:hAnsi="Arial Narrow"/>
          <w:sz w:val="20"/>
          <w:szCs w:val="20"/>
        </w:rPr>
        <w:t xml:space="preserve">-23/08 </w:t>
      </w:r>
      <w:proofErr w:type="spellStart"/>
      <w:r w:rsidRPr="002A7CD1">
        <w:rPr>
          <w:rFonts w:ascii="Arial Narrow" w:hAnsi="Arial Narrow"/>
          <w:i/>
          <w:sz w:val="20"/>
          <w:szCs w:val="20"/>
          <w:lang w:val="en-US"/>
        </w:rPr>
        <w:t>Vatsouras</w:t>
      </w:r>
      <w:proofErr w:type="spellEnd"/>
      <w:r w:rsidRPr="002A7CD1">
        <w:rPr>
          <w:rFonts w:ascii="Arial Narrow" w:hAnsi="Arial Narrow"/>
          <w:i/>
          <w:sz w:val="20"/>
          <w:szCs w:val="20"/>
        </w:rPr>
        <w:t xml:space="preserve"> </w:t>
      </w:r>
      <w:r w:rsidRPr="002A7CD1">
        <w:rPr>
          <w:rFonts w:ascii="Arial Narrow" w:hAnsi="Arial Narrow"/>
          <w:i/>
          <w:sz w:val="20"/>
          <w:szCs w:val="20"/>
          <w:lang w:val="en-US"/>
        </w:rPr>
        <w:t>and</w:t>
      </w:r>
      <w:r w:rsidRPr="002A7CD1">
        <w:rPr>
          <w:rFonts w:ascii="Arial Narrow" w:hAnsi="Arial Narrow"/>
          <w:i/>
          <w:sz w:val="20"/>
          <w:szCs w:val="20"/>
        </w:rPr>
        <w:t xml:space="preserve"> </w:t>
      </w:r>
      <w:proofErr w:type="spellStart"/>
      <w:r w:rsidRPr="002A7CD1">
        <w:rPr>
          <w:rFonts w:ascii="Arial Narrow" w:hAnsi="Arial Narrow"/>
          <w:i/>
          <w:sz w:val="20"/>
          <w:szCs w:val="20"/>
          <w:lang w:val="en-US"/>
        </w:rPr>
        <w:t>Koupatantze</w:t>
      </w:r>
      <w:proofErr w:type="spellEnd"/>
      <w:r w:rsidRPr="002A7CD1">
        <w:rPr>
          <w:rFonts w:ascii="Arial Narrow" w:hAnsi="Arial Narrow"/>
          <w:sz w:val="20"/>
          <w:szCs w:val="20"/>
        </w:rPr>
        <w:t xml:space="preserve"> [2009]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w:t>
      </w:r>
      <w:r w:rsidRPr="002A7CD1">
        <w:rPr>
          <w:rFonts w:ascii="Arial Narrow" w:hAnsi="Arial Narrow"/>
          <w:sz w:val="20"/>
          <w:szCs w:val="20"/>
        </w:rPr>
        <w:t xml:space="preserve">-4585,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52.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 xml:space="preserve">83 </w:t>
      </w:r>
      <w:r w:rsidRPr="002A7CD1">
        <w:rPr>
          <w:rFonts w:ascii="Arial Narrow" w:hAnsi="Arial Narrow"/>
          <w:sz w:val="20"/>
          <w:szCs w:val="20"/>
        </w:rPr>
        <w:t>Съществените условия, за да може гражданин на трета страна да бъде квалифициран като дългосрочно пребиваващ, са: законно и непрекъснато пребиваване за пет години, наличност на достатъчно средства, и здравна осигуровка.</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84</w:t>
      </w:r>
      <w:r w:rsidRPr="002A7CD1">
        <w:rPr>
          <w:rFonts w:ascii="Arial Narrow" w:hAnsi="Arial Narrow"/>
          <w:sz w:val="20"/>
          <w:szCs w:val="20"/>
        </w:rPr>
        <w:t xml:space="preserve"> Директива 2003/109/ЕС на Съвета от 25.11.2003г., </w:t>
      </w:r>
      <w:proofErr w:type="spellStart"/>
      <w:r w:rsidRPr="002A7CD1">
        <w:rPr>
          <w:rFonts w:ascii="Arial Narrow" w:hAnsi="Arial Narrow"/>
          <w:sz w:val="20"/>
          <w:szCs w:val="20"/>
        </w:rPr>
        <w:t>касаеща</w:t>
      </w:r>
      <w:proofErr w:type="spellEnd"/>
      <w:r w:rsidRPr="002A7CD1">
        <w:rPr>
          <w:rFonts w:ascii="Arial Narrow" w:hAnsi="Arial Narrow"/>
          <w:sz w:val="20"/>
          <w:szCs w:val="20"/>
        </w:rPr>
        <w:t xml:space="preserve"> правното положение на граждани на трети страни, които са дългосрочно пребиваващи, </w:t>
      </w:r>
      <w:r w:rsidRPr="002A7CD1">
        <w:rPr>
          <w:rFonts w:ascii="Arial Narrow" w:hAnsi="Arial Narrow"/>
          <w:sz w:val="20"/>
          <w:szCs w:val="20"/>
          <w:lang w:val="ru-RU"/>
        </w:rPr>
        <w:t xml:space="preserve">[2004]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16/44.</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ru-RU"/>
        </w:rPr>
        <w:t>85</w:t>
      </w:r>
      <w:proofErr w:type="gramStart"/>
      <w:r w:rsidRPr="002A7CD1">
        <w:rPr>
          <w:rFonts w:ascii="Arial Narrow" w:hAnsi="Arial Narrow"/>
          <w:sz w:val="20"/>
          <w:szCs w:val="20"/>
        </w:rPr>
        <w:t xml:space="preserve"> Ч</w:t>
      </w:r>
      <w:proofErr w:type="gramEnd"/>
      <w:r w:rsidRPr="002A7CD1">
        <w:rPr>
          <w:rFonts w:ascii="Arial Narrow" w:hAnsi="Arial Narrow"/>
          <w:sz w:val="20"/>
          <w:szCs w:val="20"/>
        </w:rPr>
        <w:t>л. 11 (1) на Директива 2003/109 както следва:</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„1. Дългосрочно пребиваващият се ползва от равноправно третиране с гражданите на държавата-членка по отношение на:</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a) условията за достъп до работа по трудови правоотношения и работа на свободна практика, при условие, че тези дейности не са, дори временно, свързани с упражняването на публична власт, както и условията на заетост и работа, включително условията на освобождаване от работа и заплащане;</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б) образованието и професионалната квалификация, включително осигуровки, стипендии за обучение, съгласно националното законодателство;</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в) признаването на дипломи, удостоверения и други професионални квалификации, съгласно приложимите национални процедури;</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г) социалното осигуряване, социалното подпомагане и социалната закрила, така, както са дефинирани в националното законодателство;</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д) данъчните облекчения;</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e) достъпа до стоки и услуги, и предлагането на разположение на обществото на стоки и услуги, както и достъпа до процедурите за отпускане на жилище;</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ж) свободата на съюзяване, сдружаване и членство в организация на трудещите се или на работодателите, или всяка друга професионална организация, включително предимствата, които те предлагат, без да се засягат националните разпоредби в областта на обществения ред и обществената сигурност;</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з) свободния достъп до цялата територия на съответната държава-членка, в границите, предвидени от националното законодателство по съображения за сигурност.“</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86</w:t>
      </w:r>
      <w:r w:rsidRPr="002A7CD1">
        <w:rPr>
          <w:rFonts w:ascii="Arial Narrow" w:hAnsi="Arial Narrow"/>
          <w:sz w:val="20"/>
          <w:szCs w:val="20"/>
        </w:rPr>
        <w:t xml:space="preserve"> Чл. 11 (2), 11 (3), 11 (4) и 11 (5) на Директива 2003/19 както следва:</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„2. Относно параграф 1, букви б), г), д), e) и ж), съответната държава-членка може да сведе равноправното третиране до случаите, в които мястото на регистрирано или обичайно пребиваване на дългосрочно пребиваващия, или на членовете на неговото семейство, за придобиването на което той претендира, е на територията на държавата-членка.</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3. Държавата-членка може да ограничи третирането наравно със своите граждани в следните случаи:</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a) държавата-членка може да запази ограничения по отношение достъпа до работа на трудови правоотношения или работа на свободна практика, когато, съгласно нейното национално законодателство или действащото Право на Общността, тези дейности са запазени за нейните граждани, гражданите на Европейския съюз или Европейското икономическо пространство;</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б) за предоставяне на достъп до образование или професионално обучение държавите-членки могат да изискат доказателство за съответно владеене на езика. Достъпът до висше образование е подчинен на предварителни специални условия в областта на образованието.</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4. В областта на социалното подпомагане държавите-членки могат да сведат равноправното третиране до основните придобивки.</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lastRenderedPageBreak/>
        <w:t>5. Държавите-членки могат да решат предоставянето на достъп до допълнителни придобивки в областите, посочени в параграф 1.</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rPr>
        <w:t>Държавите-членки могат също така да решат да предоставят равноправно третиране в областите, покрити от параграф 1.“</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87</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lang w:val="ru-RU"/>
        </w:rPr>
        <w:t>-571/10</w:t>
      </w:r>
      <w:r w:rsidRPr="002A7CD1">
        <w:rPr>
          <w:rFonts w:ascii="Arial Narrow" w:hAnsi="Arial Narrow"/>
          <w:i/>
          <w:sz w:val="20"/>
          <w:szCs w:val="20"/>
          <w:lang w:val="ru-RU"/>
        </w:rPr>
        <w:t xml:space="preserve"> </w:t>
      </w:r>
      <w:proofErr w:type="spellStart"/>
      <w:r w:rsidRPr="002A7CD1">
        <w:rPr>
          <w:rFonts w:ascii="Arial Narrow" w:hAnsi="Arial Narrow"/>
          <w:i/>
          <w:sz w:val="20"/>
          <w:szCs w:val="20"/>
          <w:lang w:val="en-US"/>
        </w:rPr>
        <w:t>Kamberaj</w:t>
      </w:r>
      <w:proofErr w:type="spellEnd"/>
      <w:r w:rsidRPr="002A7CD1">
        <w:rPr>
          <w:rFonts w:ascii="Arial Narrow" w:hAnsi="Arial Narrow"/>
          <w:sz w:val="20"/>
          <w:szCs w:val="20"/>
          <w:lang w:val="ru-RU"/>
        </w:rPr>
        <w:t xml:space="preserve">, </w:t>
      </w:r>
      <w:r w:rsidRPr="002A7CD1">
        <w:rPr>
          <w:rFonts w:ascii="Arial Narrow" w:hAnsi="Arial Narrow"/>
          <w:sz w:val="20"/>
          <w:szCs w:val="20"/>
        </w:rPr>
        <w:t xml:space="preserve">решение от 24.04.2012г., все още недокладвано. </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88</w:t>
      </w:r>
      <w:r w:rsidRPr="002A7CD1">
        <w:rPr>
          <w:rFonts w:ascii="Arial Narrow" w:hAnsi="Arial Narrow"/>
          <w:sz w:val="20"/>
          <w:szCs w:val="20"/>
        </w:rPr>
        <w:t xml:space="preserve"> Виж </w:t>
      </w:r>
      <w:r w:rsidRPr="002A7CD1">
        <w:rPr>
          <w:rFonts w:ascii="Arial Narrow" w:hAnsi="Arial Narrow"/>
          <w:sz w:val="20"/>
          <w:szCs w:val="20"/>
          <w:lang w:val="en-US"/>
        </w:rPr>
        <w:t xml:space="preserve">K. </w:t>
      </w:r>
      <w:proofErr w:type="spellStart"/>
      <w:proofErr w:type="gramStart"/>
      <w:r w:rsidRPr="002A7CD1">
        <w:rPr>
          <w:rFonts w:ascii="Arial Narrow" w:hAnsi="Arial Narrow"/>
          <w:sz w:val="20"/>
          <w:szCs w:val="20"/>
          <w:lang w:val="en-US"/>
        </w:rPr>
        <w:t>Lenaerts</w:t>
      </w:r>
      <w:proofErr w:type="spellEnd"/>
      <w:r w:rsidRPr="002A7CD1">
        <w:rPr>
          <w:rFonts w:ascii="Arial Narrow" w:hAnsi="Arial Narrow"/>
          <w:sz w:val="20"/>
          <w:szCs w:val="20"/>
          <w:lang w:val="en-US"/>
        </w:rPr>
        <w:t xml:space="preserve"> and P. Van </w:t>
      </w:r>
      <w:proofErr w:type="spellStart"/>
      <w:r w:rsidRPr="002A7CD1">
        <w:rPr>
          <w:rFonts w:ascii="Arial Narrow" w:hAnsi="Arial Narrow"/>
          <w:sz w:val="20"/>
          <w:szCs w:val="20"/>
          <w:lang w:val="en-US"/>
        </w:rPr>
        <w:t>Nuffel</w:t>
      </w:r>
      <w:proofErr w:type="spellEnd"/>
      <w:r w:rsidRPr="002A7CD1">
        <w:rPr>
          <w:rFonts w:ascii="Arial Narrow" w:hAnsi="Arial Narrow"/>
          <w:sz w:val="20"/>
          <w:szCs w:val="20"/>
          <w:lang w:val="en-US"/>
        </w:rPr>
        <w:t xml:space="preserve">, </w:t>
      </w:r>
      <w:r w:rsidRPr="002A7CD1">
        <w:rPr>
          <w:rFonts w:ascii="Arial Narrow" w:hAnsi="Arial Narrow"/>
          <w:sz w:val="20"/>
          <w:szCs w:val="20"/>
        </w:rPr>
        <w:t xml:space="preserve">горе 5, 170, </w:t>
      </w:r>
      <w:r w:rsidRPr="002A7CD1">
        <w:rPr>
          <w:rFonts w:ascii="Arial Narrow" w:hAnsi="Arial Narrow" w:cs="Calibri"/>
          <w:sz w:val="20"/>
          <w:szCs w:val="20"/>
        </w:rPr>
        <w:t>§</w:t>
      </w:r>
      <w:r w:rsidRPr="002A7CD1">
        <w:rPr>
          <w:rFonts w:ascii="Arial Narrow" w:hAnsi="Arial Narrow"/>
          <w:sz w:val="20"/>
          <w:szCs w:val="20"/>
        </w:rPr>
        <w:t xml:space="preserve"> 7-060.</w:t>
      </w:r>
      <w:proofErr w:type="gramEnd"/>
    </w:p>
    <w:p w:rsidR="007B37A0" w:rsidRPr="002A7CD1" w:rsidRDefault="007B37A0" w:rsidP="002A7CD1">
      <w:pPr>
        <w:spacing w:after="0" w:line="240" w:lineRule="auto"/>
        <w:ind w:right="-360" w:firstLine="540"/>
        <w:rPr>
          <w:rFonts w:ascii="Arial Narrow" w:hAnsi="Arial Narrow"/>
          <w:i/>
          <w:sz w:val="20"/>
          <w:szCs w:val="20"/>
        </w:rPr>
      </w:pPr>
      <w:r w:rsidRPr="002A7CD1">
        <w:rPr>
          <w:rFonts w:ascii="Arial Narrow" w:hAnsi="Arial Narrow"/>
          <w:sz w:val="20"/>
          <w:szCs w:val="20"/>
          <w:vertAlign w:val="superscript"/>
        </w:rPr>
        <w:t>89</w:t>
      </w:r>
      <w:r w:rsidRPr="002A7CD1">
        <w:rPr>
          <w:rFonts w:ascii="Arial Narrow" w:hAnsi="Arial Narrow"/>
          <w:sz w:val="20"/>
          <w:szCs w:val="20"/>
        </w:rPr>
        <w:t xml:space="preserve"> </w:t>
      </w:r>
      <w:r w:rsidRPr="002A7CD1">
        <w:rPr>
          <w:rFonts w:ascii="Arial Narrow" w:hAnsi="Arial Narrow"/>
          <w:i/>
          <w:sz w:val="20"/>
          <w:szCs w:val="20"/>
          <w:lang w:val="en-US"/>
        </w:rPr>
        <w:t>Ibid</w:t>
      </w:r>
      <w:r w:rsidRPr="002A7CD1">
        <w:rPr>
          <w:rFonts w:ascii="Arial Narrow" w:hAnsi="Arial Narrow"/>
          <w:i/>
          <w:sz w:val="20"/>
          <w:szCs w:val="20"/>
        </w:rPr>
        <w:t>.</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90</w:t>
      </w:r>
      <w:r w:rsidRPr="002A7CD1">
        <w:rPr>
          <w:rFonts w:ascii="Arial Narrow" w:hAnsi="Arial Narrow"/>
          <w:sz w:val="20"/>
          <w:szCs w:val="20"/>
        </w:rPr>
        <w:t xml:space="preserve"> Виж дело </w:t>
      </w:r>
      <w:r w:rsidRPr="002A7CD1">
        <w:rPr>
          <w:rFonts w:ascii="Arial Narrow" w:hAnsi="Arial Narrow"/>
          <w:sz w:val="20"/>
          <w:szCs w:val="20"/>
          <w:lang w:val="en-US"/>
        </w:rPr>
        <w:t>T</w:t>
      </w:r>
      <w:r w:rsidRPr="002A7CD1">
        <w:rPr>
          <w:rFonts w:ascii="Arial Narrow" w:hAnsi="Arial Narrow"/>
          <w:sz w:val="20"/>
          <w:szCs w:val="20"/>
        </w:rPr>
        <w:t xml:space="preserve">-58/08 </w:t>
      </w:r>
      <w:r w:rsidRPr="002A7CD1">
        <w:rPr>
          <w:rFonts w:ascii="Arial Narrow" w:hAnsi="Arial Narrow"/>
          <w:sz w:val="20"/>
          <w:szCs w:val="20"/>
          <w:lang w:val="en-US"/>
        </w:rPr>
        <w:t>P</w:t>
      </w:r>
      <w:r w:rsidRPr="002A7CD1">
        <w:rPr>
          <w:rFonts w:ascii="Arial Narrow" w:hAnsi="Arial Narrow"/>
          <w:sz w:val="20"/>
          <w:szCs w:val="20"/>
        </w:rPr>
        <w:t xml:space="preserve"> </w:t>
      </w:r>
      <w:proofErr w:type="spellStart"/>
      <w:r w:rsidRPr="002A7CD1">
        <w:rPr>
          <w:rFonts w:ascii="Arial Narrow" w:hAnsi="Arial Narrow"/>
          <w:i/>
          <w:sz w:val="20"/>
          <w:szCs w:val="20"/>
          <w:lang w:val="en-US"/>
        </w:rPr>
        <w:t>Roodhuijzen</w:t>
      </w:r>
      <w:proofErr w:type="spellEnd"/>
      <w:r w:rsidRPr="002A7CD1">
        <w:rPr>
          <w:rFonts w:ascii="Arial Narrow" w:hAnsi="Arial Narrow"/>
          <w:i/>
          <w:sz w:val="20"/>
          <w:szCs w:val="20"/>
        </w:rPr>
        <w:t xml:space="preserve"> </w:t>
      </w:r>
      <w:r w:rsidRPr="002A7CD1">
        <w:rPr>
          <w:rFonts w:ascii="Arial Narrow" w:hAnsi="Arial Narrow"/>
          <w:sz w:val="20"/>
          <w:szCs w:val="20"/>
        </w:rPr>
        <w:t xml:space="preserve">[2009] </w:t>
      </w:r>
      <w:r w:rsidRPr="002A7CD1">
        <w:rPr>
          <w:rFonts w:ascii="Arial Narrow" w:hAnsi="Arial Narrow"/>
          <w:sz w:val="20"/>
          <w:szCs w:val="20"/>
          <w:lang w:val="en-US"/>
        </w:rPr>
        <w:t>E</w:t>
      </w:r>
      <w:r w:rsidRPr="002A7CD1">
        <w:rPr>
          <w:rFonts w:ascii="Arial Narrow" w:hAnsi="Arial Narrow"/>
          <w:sz w:val="20"/>
          <w:szCs w:val="20"/>
        </w:rPr>
        <w:t>.</w:t>
      </w:r>
      <w:r w:rsidRPr="002A7CD1">
        <w:rPr>
          <w:rFonts w:ascii="Arial Narrow" w:hAnsi="Arial Narrow"/>
          <w:sz w:val="20"/>
          <w:szCs w:val="20"/>
          <w:lang w:val="en-US"/>
        </w:rPr>
        <w:t>C</w:t>
      </w:r>
      <w:r w:rsidRPr="002A7CD1">
        <w:rPr>
          <w:rFonts w:ascii="Arial Narrow" w:hAnsi="Arial Narrow"/>
          <w:sz w:val="20"/>
          <w:szCs w:val="20"/>
        </w:rPr>
        <w:t>.</w:t>
      </w:r>
      <w:r w:rsidRPr="002A7CD1">
        <w:rPr>
          <w:rFonts w:ascii="Arial Narrow" w:hAnsi="Arial Narrow"/>
          <w:sz w:val="20"/>
          <w:szCs w:val="20"/>
          <w:lang w:val="en-US"/>
        </w:rPr>
        <w:t>R</w:t>
      </w:r>
      <w:r w:rsidRPr="002A7CD1">
        <w:rPr>
          <w:rFonts w:ascii="Arial Narrow" w:hAnsi="Arial Narrow"/>
          <w:sz w:val="20"/>
          <w:szCs w:val="20"/>
        </w:rPr>
        <w:t xml:space="preserve">. </w:t>
      </w:r>
      <w:r w:rsidRPr="002A7CD1">
        <w:rPr>
          <w:rFonts w:ascii="Arial Narrow" w:hAnsi="Arial Narrow"/>
          <w:sz w:val="20"/>
          <w:szCs w:val="20"/>
          <w:lang w:val="en-US"/>
        </w:rPr>
        <w:t>II</w:t>
      </w:r>
      <w:r w:rsidRPr="002A7CD1">
        <w:rPr>
          <w:rFonts w:ascii="Arial Narrow" w:hAnsi="Arial Narrow"/>
          <w:sz w:val="20"/>
          <w:szCs w:val="20"/>
        </w:rPr>
        <w:t>-</w:t>
      </w:r>
      <w:r w:rsidRPr="002A7CD1">
        <w:rPr>
          <w:rFonts w:ascii="Arial Narrow" w:hAnsi="Arial Narrow"/>
          <w:sz w:val="20"/>
          <w:szCs w:val="20"/>
          <w:lang w:val="en-US"/>
        </w:rPr>
        <w:t>B</w:t>
      </w:r>
      <w:r w:rsidRPr="002A7CD1">
        <w:rPr>
          <w:rFonts w:ascii="Arial Narrow" w:hAnsi="Arial Narrow"/>
          <w:sz w:val="20"/>
          <w:szCs w:val="20"/>
        </w:rPr>
        <w:t xml:space="preserve">-1-633, </w:t>
      </w:r>
      <w:proofErr w:type="spellStart"/>
      <w:r w:rsidRPr="002A7CD1">
        <w:rPr>
          <w:rFonts w:ascii="Arial Narrow" w:hAnsi="Arial Narrow"/>
          <w:sz w:val="20"/>
          <w:szCs w:val="20"/>
        </w:rPr>
        <w:t>пар</w:t>
      </w:r>
      <w:proofErr w:type="spellEnd"/>
      <w:r w:rsidRPr="002A7CD1">
        <w:rPr>
          <w:rFonts w:ascii="Arial Narrow" w:hAnsi="Arial Narrow"/>
          <w:sz w:val="20"/>
          <w:szCs w:val="20"/>
        </w:rPr>
        <w:t xml:space="preserve">. 68-102 (за медицинска издръжка). Виж също дело </w:t>
      </w:r>
      <w:r w:rsidRPr="002A7CD1">
        <w:rPr>
          <w:rFonts w:ascii="Arial Narrow" w:hAnsi="Arial Narrow"/>
          <w:sz w:val="20"/>
          <w:szCs w:val="20"/>
          <w:lang w:val="en-US"/>
        </w:rPr>
        <w:t>C</w:t>
      </w:r>
      <w:r w:rsidRPr="002A7CD1">
        <w:rPr>
          <w:rFonts w:ascii="Arial Narrow" w:hAnsi="Arial Narrow"/>
          <w:sz w:val="20"/>
          <w:szCs w:val="20"/>
          <w:lang w:val="ru-RU"/>
        </w:rPr>
        <w:t xml:space="preserve">-485/08 </w:t>
      </w:r>
      <w:r w:rsidRPr="002A7CD1">
        <w:rPr>
          <w:rFonts w:ascii="Arial Narrow" w:hAnsi="Arial Narrow"/>
          <w:sz w:val="20"/>
          <w:szCs w:val="20"/>
          <w:lang w:val="en-US"/>
        </w:rPr>
        <w:t>P</w:t>
      </w:r>
      <w:r w:rsidRPr="002A7CD1">
        <w:rPr>
          <w:rFonts w:ascii="Arial Narrow" w:hAnsi="Arial Narrow"/>
          <w:sz w:val="20"/>
          <w:szCs w:val="20"/>
          <w:lang w:val="ru-RU"/>
        </w:rPr>
        <w:t xml:space="preserve"> </w:t>
      </w:r>
      <w:proofErr w:type="spellStart"/>
      <w:r w:rsidRPr="002A7CD1">
        <w:rPr>
          <w:rFonts w:ascii="Arial Narrow" w:hAnsi="Arial Narrow"/>
          <w:i/>
          <w:sz w:val="20"/>
          <w:szCs w:val="20"/>
          <w:lang w:val="en-US"/>
        </w:rPr>
        <w:t>Gualtieri</w:t>
      </w:r>
      <w:proofErr w:type="spellEnd"/>
      <w:r w:rsidRPr="002A7CD1">
        <w:rPr>
          <w:rFonts w:ascii="Arial Narrow" w:hAnsi="Arial Narrow"/>
          <w:sz w:val="20"/>
          <w:szCs w:val="20"/>
          <w:lang w:val="ru-RU"/>
        </w:rPr>
        <w:t xml:space="preserve"> </w:t>
      </w:r>
      <w:r w:rsidRPr="002A7CD1">
        <w:rPr>
          <w:rFonts w:ascii="Arial Narrow" w:hAnsi="Arial Narrow"/>
          <w:i/>
          <w:sz w:val="20"/>
          <w:szCs w:val="20"/>
          <w:lang w:val="en-US"/>
        </w:rPr>
        <w:t>v</w:t>
      </w:r>
      <w:r w:rsidRPr="002A7CD1">
        <w:rPr>
          <w:rFonts w:ascii="Arial Narrow" w:hAnsi="Arial Narrow"/>
          <w:sz w:val="20"/>
          <w:szCs w:val="20"/>
          <w:lang w:val="ru-RU"/>
        </w:rPr>
        <w:t xml:space="preserve"> </w:t>
      </w:r>
      <w:r w:rsidRPr="002A7CD1">
        <w:rPr>
          <w:rFonts w:ascii="Arial Narrow" w:hAnsi="Arial Narrow"/>
          <w:i/>
          <w:sz w:val="20"/>
          <w:szCs w:val="20"/>
          <w:lang w:val="en-US"/>
        </w:rPr>
        <w:t>Commission</w:t>
      </w:r>
      <w:r w:rsidRPr="002A7CD1">
        <w:rPr>
          <w:rFonts w:ascii="Arial Narrow" w:hAnsi="Arial Narrow"/>
          <w:sz w:val="20"/>
          <w:szCs w:val="20"/>
          <w:lang w:val="ru-RU"/>
        </w:rPr>
        <w:t xml:space="preserve"> [2010]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-3009, </w:t>
      </w:r>
      <w:r w:rsidRPr="002A7CD1">
        <w:rPr>
          <w:rFonts w:ascii="Arial Narrow" w:hAnsi="Arial Narrow"/>
          <w:sz w:val="20"/>
          <w:szCs w:val="20"/>
          <w:lang w:val="en-US"/>
        </w:rPr>
        <w:t>par</w:t>
      </w:r>
      <w:r w:rsidRPr="002A7CD1">
        <w:rPr>
          <w:rFonts w:ascii="Arial Narrow" w:hAnsi="Arial Narrow"/>
          <w:sz w:val="20"/>
          <w:szCs w:val="20"/>
          <w:lang w:val="ru-RU"/>
        </w:rPr>
        <w:t>. 70-76 (</w:t>
      </w:r>
      <w:r w:rsidRPr="002A7CD1">
        <w:rPr>
          <w:rFonts w:ascii="Arial Narrow" w:hAnsi="Arial Narrow"/>
          <w:sz w:val="20"/>
          <w:szCs w:val="20"/>
        </w:rPr>
        <w:t>семейно положение като релевантен фактор за определяне на дневни пари</w:t>
      </w:r>
      <w:r w:rsidRPr="002A7CD1">
        <w:rPr>
          <w:rFonts w:ascii="Arial Narrow" w:hAnsi="Arial Narrow"/>
          <w:sz w:val="20"/>
          <w:szCs w:val="20"/>
          <w:lang w:val="ru-RU"/>
        </w:rPr>
        <w:t>)</w:t>
      </w:r>
      <w:r w:rsidRPr="002A7CD1">
        <w:rPr>
          <w:rFonts w:ascii="Arial Narrow" w:hAnsi="Arial Narrow"/>
          <w:sz w:val="20"/>
          <w:szCs w:val="20"/>
        </w:rPr>
        <w:t>.</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91</w:t>
      </w:r>
      <w:r w:rsidRPr="002A7CD1">
        <w:rPr>
          <w:rFonts w:ascii="Arial Narrow" w:hAnsi="Arial Narrow"/>
          <w:sz w:val="20"/>
          <w:szCs w:val="20"/>
        </w:rPr>
        <w:t xml:space="preserve"> Директива 2004/38/ЕС на Европейския парламент и на Съвета от 29.04.2004г. за правото на гражданин на Съюза и членовете на семейството му/й да се преместват и да пребивават свободно на територията на държавите-членки, </w:t>
      </w:r>
      <w:r w:rsidRPr="002A7CD1">
        <w:rPr>
          <w:rFonts w:ascii="Arial Narrow" w:hAnsi="Arial Narrow"/>
          <w:sz w:val="20"/>
          <w:szCs w:val="20"/>
          <w:lang w:val="ru-RU"/>
        </w:rPr>
        <w:t xml:space="preserve">[2004] </w:t>
      </w:r>
      <w:r w:rsidRPr="002A7CD1">
        <w:rPr>
          <w:rFonts w:ascii="Arial Narrow" w:hAnsi="Arial Narrow"/>
          <w:sz w:val="20"/>
          <w:szCs w:val="20"/>
          <w:lang w:val="en-US"/>
        </w:rPr>
        <w:t>OJ</w:t>
      </w:r>
      <w:r w:rsidRPr="002A7CD1">
        <w:rPr>
          <w:rFonts w:ascii="Arial Narrow" w:hAnsi="Arial Narrow"/>
          <w:sz w:val="20"/>
          <w:szCs w:val="20"/>
          <w:lang w:val="ru-RU"/>
        </w:rPr>
        <w:t xml:space="preserve"> </w:t>
      </w:r>
      <w:r w:rsidRPr="002A7CD1">
        <w:rPr>
          <w:rFonts w:ascii="Arial Narrow" w:hAnsi="Arial Narrow"/>
          <w:sz w:val="20"/>
          <w:szCs w:val="20"/>
          <w:lang w:val="en-US"/>
        </w:rPr>
        <w:t>L</w:t>
      </w:r>
      <w:r w:rsidRPr="002A7CD1">
        <w:rPr>
          <w:rFonts w:ascii="Arial Narrow" w:hAnsi="Arial Narrow"/>
          <w:sz w:val="20"/>
          <w:szCs w:val="20"/>
          <w:lang w:val="ru-RU"/>
        </w:rPr>
        <w:t xml:space="preserve"> 158/77.</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lang w:val="fr-FR"/>
        </w:rPr>
        <w:t>92</w:t>
      </w:r>
      <w:r w:rsidRPr="002A7CD1">
        <w:rPr>
          <w:rFonts w:ascii="Arial Narrow" w:hAnsi="Arial Narrow"/>
          <w:sz w:val="20"/>
          <w:szCs w:val="20"/>
          <w:lang w:val="fr-FR"/>
        </w:rPr>
        <w:t xml:space="preserve"> </w:t>
      </w:r>
      <w:r w:rsidRPr="002A7CD1">
        <w:rPr>
          <w:rFonts w:ascii="Arial Narrow" w:hAnsi="Arial Narrow"/>
          <w:sz w:val="20"/>
          <w:szCs w:val="20"/>
        </w:rPr>
        <w:t xml:space="preserve">Дело </w:t>
      </w:r>
      <w:r w:rsidRPr="002A7CD1">
        <w:rPr>
          <w:rFonts w:ascii="Arial Narrow" w:hAnsi="Arial Narrow"/>
          <w:sz w:val="20"/>
          <w:szCs w:val="20"/>
          <w:lang w:val="fr-FR"/>
        </w:rPr>
        <w:t xml:space="preserve">T-307/00 </w:t>
      </w:r>
      <w:r w:rsidRPr="002A7CD1">
        <w:rPr>
          <w:rFonts w:ascii="Arial Narrow" w:hAnsi="Arial Narrow"/>
          <w:i/>
          <w:sz w:val="20"/>
          <w:szCs w:val="20"/>
          <w:lang w:val="fr-FR"/>
        </w:rPr>
        <w:t xml:space="preserve">C v Commission </w:t>
      </w:r>
      <w:r w:rsidRPr="002A7CD1">
        <w:rPr>
          <w:rFonts w:ascii="Arial Narrow" w:hAnsi="Arial Narrow"/>
          <w:sz w:val="20"/>
          <w:szCs w:val="20"/>
          <w:lang w:val="fr-FR"/>
        </w:rPr>
        <w:t xml:space="preserve">[2003] E.C.R. </w:t>
      </w:r>
      <w:r w:rsidRPr="002A7CD1">
        <w:rPr>
          <w:rFonts w:ascii="Arial Narrow" w:hAnsi="Arial Narrow"/>
          <w:sz w:val="20"/>
          <w:szCs w:val="20"/>
        </w:rPr>
        <w:t>-</w:t>
      </w:r>
      <w:r w:rsidRPr="002A7CD1">
        <w:rPr>
          <w:rFonts w:ascii="Arial Narrow" w:hAnsi="Arial Narrow"/>
          <w:sz w:val="20"/>
          <w:szCs w:val="20"/>
          <w:lang w:val="fr-FR"/>
        </w:rPr>
        <w:t xml:space="preserve"> SC II-221, </w:t>
      </w:r>
      <w:proofErr w:type="spellStart"/>
      <w:r w:rsidRPr="002A7CD1">
        <w:rPr>
          <w:rFonts w:ascii="Arial Narrow" w:hAnsi="Arial Narrow"/>
          <w:sz w:val="20"/>
          <w:szCs w:val="20"/>
        </w:rPr>
        <w:t>пар</w:t>
      </w:r>
      <w:proofErr w:type="spellEnd"/>
      <w:r w:rsidRPr="002A7CD1">
        <w:rPr>
          <w:rFonts w:ascii="Arial Narrow" w:hAnsi="Arial Narrow"/>
          <w:sz w:val="20"/>
          <w:szCs w:val="20"/>
        </w:rPr>
        <w:t>. 48-56.</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93</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lang w:val="ru-RU"/>
        </w:rPr>
        <w:t xml:space="preserve">-267/06 </w:t>
      </w:r>
      <w:r w:rsidRPr="002A7CD1">
        <w:rPr>
          <w:rFonts w:ascii="Arial Narrow" w:hAnsi="Arial Narrow"/>
          <w:i/>
          <w:sz w:val="20"/>
          <w:szCs w:val="20"/>
          <w:lang w:val="en-US"/>
        </w:rPr>
        <w:t>Maruko</w:t>
      </w:r>
      <w:r w:rsidRPr="002A7CD1">
        <w:rPr>
          <w:rFonts w:ascii="Arial Narrow" w:hAnsi="Arial Narrow"/>
          <w:sz w:val="20"/>
          <w:szCs w:val="20"/>
          <w:lang w:val="ru-RU"/>
        </w:rPr>
        <w:t xml:space="preserve"> [2008] </w:t>
      </w:r>
      <w:r w:rsidRPr="002A7CD1">
        <w:rPr>
          <w:rFonts w:ascii="Arial Narrow" w:hAnsi="Arial Narrow"/>
          <w:sz w:val="20"/>
          <w:szCs w:val="20"/>
          <w:lang w:val="en-US"/>
        </w:rPr>
        <w:t>E</w:t>
      </w:r>
      <w:r w:rsidRPr="002A7CD1">
        <w:rPr>
          <w:rFonts w:ascii="Arial Narrow" w:hAnsi="Arial Narrow"/>
          <w:sz w:val="20"/>
          <w:szCs w:val="20"/>
          <w:lang w:val="ru-RU"/>
        </w:rPr>
        <w:t>.</w:t>
      </w:r>
      <w:r w:rsidRPr="002A7CD1">
        <w:rPr>
          <w:rFonts w:ascii="Arial Narrow" w:hAnsi="Arial Narrow"/>
          <w:sz w:val="20"/>
          <w:szCs w:val="20"/>
          <w:lang w:val="en-US"/>
        </w:rPr>
        <w:t>C</w:t>
      </w:r>
      <w:r w:rsidRPr="002A7CD1">
        <w:rPr>
          <w:rFonts w:ascii="Arial Narrow" w:hAnsi="Arial Narrow"/>
          <w:sz w:val="20"/>
          <w:szCs w:val="20"/>
          <w:lang w:val="ru-RU"/>
        </w:rPr>
        <w:t>.</w:t>
      </w:r>
      <w:r w:rsidRPr="002A7CD1">
        <w:rPr>
          <w:rFonts w:ascii="Arial Narrow" w:hAnsi="Arial Narrow"/>
          <w:sz w:val="20"/>
          <w:szCs w:val="20"/>
          <w:lang w:val="en-US"/>
        </w:rPr>
        <w:t>R</w:t>
      </w:r>
      <w:r w:rsidRPr="002A7CD1">
        <w:rPr>
          <w:rFonts w:ascii="Arial Narrow" w:hAnsi="Arial Narrow"/>
          <w:sz w:val="20"/>
          <w:szCs w:val="20"/>
          <w:lang w:val="ru-RU"/>
        </w:rPr>
        <w:t xml:space="preserve">. </w:t>
      </w:r>
      <w:r w:rsidRPr="002A7CD1">
        <w:rPr>
          <w:rFonts w:ascii="Arial Narrow" w:hAnsi="Arial Narrow"/>
          <w:sz w:val="20"/>
          <w:szCs w:val="20"/>
          <w:lang w:val="en-US"/>
        </w:rPr>
        <w:t>I</w:t>
      </w:r>
      <w:r w:rsidRPr="002A7CD1">
        <w:rPr>
          <w:rFonts w:ascii="Arial Narrow" w:hAnsi="Arial Narrow"/>
          <w:sz w:val="20"/>
          <w:szCs w:val="20"/>
          <w:lang w:val="ru-RU"/>
        </w:rPr>
        <w:t xml:space="preserve">-1757, </w:t>
      </w:r>
      <w:r w:rsidRPr="002A7CD1">
        <w:rPr>
          <w:rFonts w:ascii="Arial Narrow" w:hAnsi="Arial Narrow"/>
          <w:sz w:val="20"/>
          <w:szCs w:val="20"/>
        </w:rPr>
        <w:t xml:space="preserve">и дело </w:t>
      </w:r>
      <w:r w:rsidRPr="002A7CD1">
        <w:rPr>
          <w:rFonts w:ascii="Arial Narrow" w:hAnsi="Arial Narrow"/>
          <w:sz w:val="20"/>
          <w:szCs w:val="20"/>
          <w:lang w:val="en-US"/>
        </w:rPr>
        <w:t>C</w:t>
      </w:r>
      <w:r w:rsidRPr="002A7CD1">
        <w:rPr>
          <w:rFonts w:ascii="Arial Narrow" w:hAnsi="Arial Narrow"/>
          <w:sz w:val="20"/>
          <w:szCs w:val="20"/>
          <w:lang w:val="ru-RU"/>
        </w:rPr>
        <w:t xml:space="preserve">-147/08 </w:t>
      </w:r>
      <w:r w:rsidRPr="002A7CD1">
        <w:rPr>
          <w:rFonts w:ascii="Arial Narrow" w:hAnsi="Arial Narrow"/>
          <w:i/>
          <w:sz w:val="20"/>
          <w:szCs w:val="20"/>
          <w:lang w:val="en-US"/>
        </w:rPr>
        <w:t>R</w:t>
      </w:r>
      <w:proofErr w:type="spellStart"/>
      <w:r w:rsidRPr="002A7CD1">
        <w:rPr>
          <w:rFonts w:ascii="Arial Narrow" w:hAnsi="Arial Narrow" w:cs="Calibri"/>
          <w:i/>
          <w:sz w:val="20"/>
          <w:szCs w:val="20"/>
          <w:lang w:val="ru-RU"/>
        </w:rPr>
        <w:t>ö</w:t>
      </w:r>
      <w:r w:rsidRPr="002A7CD1">
        <w:rPr>
          <w:rFonts w:ascii="Arial Narrow" w:hAnsi="Arial Narrow"/>
          <w:i/>
          <w:sz w:val="20"/>
          <w:szCs w:val="20"/>
          <w:lang w:val="en-US"/>
        </w:rPr>
        <w:t>mer</w:t>
      </w:r>
      <w:proofErr w:type="spellEnd"/>
      <w:r w:rsidRPr="002A7CD1">
        <w:rPr>
          <w:rFonts w:ascii="Arial Narrow" w:hAnsi="Arial Narrow"/>
          <w:sz w:val="20"/>
          <w:szCs w:val="20"/>
          <w:lang w:val="ru-RU"/>
        </w:rPr>
        <w:t>,</w:t>
      </w:r>
      <w:r w:rsidRPr="002A7CD1">
        <w:rPr>
          <w:rFonts w:ascii="Arial Narrow" w:hAnsi="Arial Narrow"/>
          <w:sz w:val="20"/>
          <w:szCs w:val="20"/>
        </w:rPr>
        <w:t xml:space="preserve"> решение от 10.05.2011г., все още недокладвано.</w:t>
      </w:r>
    </w:p>
    <w:p w:rsidR="007B37A0" w:rsidRPr="002A7CD1" w:rsidRDefault="007B37A0" w:rsidP="002A7CD1">
      <w:pPr>
        <w:spacing w:after="0" w:line="240" w:lineRule="auto"/>
        <w:ind w:right="-360" w:firstLine="540"/>
        <w:rPr>
          <w:rFonts w:ascii="Arial Narrow" w:hAnsi="Arial Narrow"/>
          <w:sz w:val="20"/>
          <w:szCs w:val="20"/>
        </w:rPr>
      </w:pPr>
      <w:r w:rsidRPr="002A7CD1">
        <w:rPr>
          <w:rFonts w:ascii="Arial Narrow" w:hAnsi="Arial Narrow"/>
          <w:sz w:val="20"/>
          <w:szCs w:val="20"/>
          <w:vertAlign w:val="superscript"/>
        </w:rPr>
        <w:t>94</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lang w:val="ru-RU"/>
        </w:rPr>
        <w:t xml:space="preserve">-167/12 </w:t>
      </w:r>
      <w:r w:rsidRPr="002A7CD1">
        <w:rPr>
          <w:rFonts w:ascii="Arial Narrow" w:hAnsi="Arial Narrow"/>
          <w:i/>
          <w:sz w:val="20"/>
          <w:szCs w:val="20"/>
          <w:lang w:val="en-US"/>
        </w:rPr>
        <w:t>C</w:t>
      </w:r>
      <w:r w:rsidRPr="002A7CD1">
        <w:rPr>
          <w:rFonts w:ascii="Arial Narrow" w:hAnsi="Arial Narrow"/>
          <w:i/>
          <w:sz w:val="20"/>
          <w:szCs w:val="20"/>
          <w:lang w:val="ru-RU"/>
        </w:rPr>
        <w:t>.</w:t>
      </w:r>
      <w:r w:rsidRPr="002A7CD1">
        <w:rPr>
          <w:rFonts w:ascii="Arial Narrow" w:hAnsi="Arial Narrow"/>
          <w:i/>
          <w:sz w:val="20"/>
          <w:szCs w:val="20"/>
          <w:lang w:val="en-US"/>
        </w:rPr>
        <w:t>D</w:t>
      </w:r>
      <w:r w:rsidRPr="002A7CD1">
        <w:rPr>
          <w:rFonts w:ascii="Arial Narrow" w:hAnsi="Arial Narrow"/>
          <w:i/>
          <w:sz w:val="20"/>
          <w:szCs w:val="20"/>
          <w:lang w:val="ru-RU"/>
        </w:rPr>
        <w:t>.</w:t>
      </w:r>
      <w:r w:rsidRPr="002A7CD1">
        <w:rPr>
          <w:rFonts w:ascii="Arial Narrow" w:hAnsi="Arial Narrow"/>
          <w:sz w:val="20"/>
          <w:szCs w:val="20"/>
          <w:lang w:val="ru-RU"/>
        </w:rPr>
        <w:t xml:space="preserve"> (</w:t>
      </w:r>
      <w:r w:rsidRPr="002A7CD1">
        <w:rPr>
          <w:rFonts w:ascii="Arial Narrow" w:hAnsi="Arial Narrow"/>
          <w:sz w:val="20"/>
          <w:szCs w:val="20"/>
        </w:rPr>
        <w:t>висящо</w:t>
      </w:r>
      <w:r w:rsidRPr="002A7CD1">
        <w:rPr>
          <w:rFonts w:ascii="Arial Narrow" w:hAnsi="Arial Narrow"/>
          <w:sz w:val="20"/>
          <w:szCs w:val="20"/>
          <w:lang w:val="ru-RU"/>
        </w:rPr>
        <w:t>)</w:t>
      </w:r>
      <w:r w:rsidRPr="002A7CD1">
        <w:rPr>
          <w:rFonts w:ascii="Arial Narrow" w:hAnsi="Arial Narrow"/>
          <w:sz w:val="20"/>
          <w:szCs w:val="20"/>
        </w:rPr>
        <w:t>.</w:t>
      </w:r>
    </w:p>
    <w:p w:rsidR="007B37A0" w:rsidRPr="002A7CD1" w:rsidRDefault="007B37A0" w:rsidP="002A7CD1">
      <w:pPr>
        <w:spacing w:after="0" w:line="240" w:lineRule="auto"/>
        <w:ind w:right="-360" w:firstLine="540"/>
        <w:rPr>
          <w:rFonts w:ascii="Arial Narrow" w:hAnsi="Arial Narrow"/>
          <w:sz w:val="20"/>
          <w:szCs w:val="20"/>
          <w:lang w:val="ru-RU"/>
        </w:rPr>
      </w:pPr>
      <w:r w:rsidRPr="002A7CD1">
        <w:rPr>
          <w:rFonts w:ascii="Arial Narrow" w:hAnsi="Arial Narrow"/>
          <w:sz w:val="20"/>
          <w:szCs w:val="20"/>
          <w:vertAlign w:val="superscript"/>
        </w:rPr>
        <w:t>95</w:t>
      </w:r>
      <w:r w:rsidRPr="002A7CD1">
        <w:rPr>
          <w:rFonts w:ascii="Arial Narrow" w:hAnsi="Arial Narrow"/>
          <w:sz w:val="20"/>
          <w:szCs w:val="20"/>
        </w:rPr>
        <w:t xml:space="preserve"> Дело </w:t>
      </w:r>
      <w:r w:rsidRPr="002A7CD1">
        <w:rPr>
          <w:rFonts w:ascii="Arial Narrow" w:hAnsi="Arial Narrow"/>
          <w:sz w:val="20"/>
          <w:szCs w:val="20"/>
          <w:lang w:val="en-US"/>
        </w:rPr>
        <w:t>C</w:t>
      </w:r>
      <w:r w:rsidRPr="002A7CD1">
        <w:rPr>
          <w:rFonts w:ascii="Arial Narrow" w:hAnsi="Arial Narrow"/>
          <w:sz w:val="20"/>
          <w:szCs w:val="20"/>
          <w:lang w:val="ru-RU"/>
        </w:rPr>
        <w:t xml:space="preserve">-363/12 </w:t>
      </w:r>
      <w:r w:rsidRPr="002A7CD1">
        <w:rPr>
          <w:rFonts w:ascii="Arial Narrow" w:hAnsi="Arial Narrow"/>
          <w:i/>
          <w:sz w:val="20"/>
          <w:szCs w:val="20"/>
          <w:lang w:val="en-US"/>
        </w:rPr>
        <w:t>Z</w:t>
      </w:r>
      <w:r w:rsidRPr="002A7CD1">
        <w:rPr>
          <w:rFonts w:ascii="Arial Narrow" w:hAnsi="Arial Narrow"/>
          <w:i/>
          <w:sz w:val="20"/>
          <w:szCs w:val="20"/>
          <w:lang w:val="ru-RU"/>
        </w:rPr>
        <w:t xml:space="preserve"> </w:t>
      </w:r>
      <w:r w:rsidRPr="002A7CD1">
        <w:rPr>
          <w:rFonts w:ascii="Arial Narrow" w:hAnsi="Arial Narrow"/>
          <w:i/>
          <w:sz w:val="20"/>
          <w:szCs w:val="20"/>
          <w:lang w:val="en-US"/>
        </w:rPr>
        <w:t>v</w:t>
      </w:r>
      <w:r w:rsidRPr="002A7CD1">
        <w:rPr>
          <w:rFonts w:ascii="Arial Narrow" w:hAnsi="Arial Narrow"/>
          <w:i/>
          <w:sz w:val="20"/>
          <w:szCs w:val="20"/>
          <w:lang w:val="ru-RU"/>
        </w:rPr>
        <w:t xml:space="preserve"> </w:t>
      </w:r>
      <w:r w:rsidRPr="002A7CD1">
        <w:rPr>
          <w:rFonts w:ascii="Arial Narrow" w:hAnsi="Arial Narrow"/>
          <w:i/>
          <w:sz w:val="20"/>
          <w:szCs w:val="20"/>
          <w:lang w:val="en-US"/>
        </w:rPr>
        <w:t>A</w:t>
      </w:r>
      <w:r w:rsidRPr="002A7CD1">
        <w:rPr>
          <w:rFonts w:ascii="Arial Narrow" w:hAnsi="Arial Narrow"/>
          <w:sz w:val="20"/>
          <w:szCs w:val="20"/>
          <w:lang w:val="ru-RU"/>
        </w:rPr>
        <w:t xml:space="preserve"> (</w:t>
      </w:r>
      <w:r w:rsidRPr="002A7CD1">
        <w:rPr>
          <w:rFonts w:ascii="Arial Narrow" w:hAnsi="Arial Narrow"/>
          <w:sz w:val="20"/>
          <w:szCs w:val="20"/>
        </w:rPr>
        <w:t>висящо</w:t>
      </w:r>
      <w:r w:rsidRPr="002A7CD1">
        <w:rPr>
          <w:rFonts w:ascii="Arial Narrow" w:hAnsi="Arial Narrow"/>
          <w:sz w:val="20"/>
          <w:szCs w:val="20"/>
          <w:lang w:val="ru-RU"/>
        </w:rPr>
        <w:t>).</w:t>
      </w:r>
    </w:p>
    <w:p w:rsidR="007B37A0" w:rsidRPr="002A7CD1" w:rsidRDefault="007B37A0" w:rsidP="002A7CD1">
      <w:pPr>
        <w:pBdr>
          <w:bottom w:val="single" w:sz="6" w:space="1" w:color="auto"/>
        </w:pBdr>
        <w:spacing w:after="0" w:line="240" w:lineRule="auto"/>
        <w:ind w:right="-360"/>
        <w:jc w:val="both"/>
        <w:rPr>
          <w:rFonts w:ascii="Arial Narrow" w:hAnsi="Arial Narrow"/>
          <w:sz w:val="20"/>
          <w:szCs w:val="20"/>
          <w:lang w:val="ru-RU"/>
        </w:rPr>
      </w:pPr>
    </w:p>
    <w:sectPr w:rsidR="007B37A0" w:rsidRPr="002A7CD1" w:rsidSect="00BB5480">
      <w:headerReference w:type="default" r:id="rId7"/>
      <w:footerReference w:type="default" r:id="rId8"/>
      <w:footnotePr>
        <w:numFmt w:val="chicago"/>
      </w:footnotePr>
      <w:pgSz w:w="11906" w:h="16838"/>
      <w:pgMar w:top="899" w:right="926" w:bottom="1079" w:left="900" w:header="426" w:footer="34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37A0" w:rsidRDefault="007B37A0">
      <w:r>
        <w:separator/>
      </w:r>
    </w:p>
  </w:endnote>
  <w:endnote w:type="continuationSeparator" w:id="0">
    <w:p w:rsidR="007B37A0" w:rsidRDefault="007B37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C2E" w:rsidRPr="00410AFF" w:rsidRDefault="00866C2E" w:rsidP="00866C2E">
    <w:pPr>
      <w:pStyle w:val="ac"/>
      <w:spacing w:after="0" w:line="240" w:lineRule="auto"/>
      <w:jc w:val="center"/>
      <w:rPr>
        <w:rFonts w:ascii="Times New Roman" w:hAnsi="Times New Roman"/>
        <w:i/>
        <w:sz w:val="16"/>
        <w:szCs w:val="16"/>
      </w:rPr>
    </w:pPr>
    <w:r w:rsidRPr="00410AFF">
      <w:rPr>
        <w:rFonts w:ascii="Times New Roman" w:hAnsi="Times New Roman"/>
        <w:i/>
        <w:sz w:val="16"/>
        <w:szCs w:val="16"/>
      </w:rPr>
      <w:t xml:space="preserve">Този документ е създаден в рамките на проект „Повишаване </w:t>
    </w:r>
    <w:r>
      <w:rPr>
        <w:rFonts w:ascii="Times New Roman" w:hAnsi="Times New Roman"/>
        <w:i/>
        <w:sz w:val="16"/>
        <w:szCs w:val="16"/>
      </w:rPr>
      <w:t xml:space="preserve">на </w:t>
    </w:r>
    <w:r w:rsidRPr="00410AFF">
      <w:rPr>
        <w:rFonts w:ascii="Times New Roman" w:hAnsi="Times New Roman"/>
        <w:i/>
        <w:sz w:val="16"/>
        <w:szCs w:val="16"/>
      </w:rPr>
      <w:t xml:space="preserve">компетентността на съдии, съдебни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съдебни служители от ВАС и административните съдилища”, </w:t>
    </w:r>
    <w:r>
      <w:rPr>
        <w:rFonts w:ascii="Times New Roman" w:hAnsi="Times New Roman"/>
        <w:i/>
        <w:sz w:val="16"/>
        <w:szCs w:val="16"/>
      </w:rPr>
      <w:t>Договор №</w:t>
    </w:r>
    <w:r>
      <w:rPr>
        <w:rFonts w:ascii="Times New Roman" w:hAnsi="Times New Roman"/>
        <w:i/>
        <w:sz w:val="16"/>
        <w:szCs w:val="16"/>
        <w:lang w:val="en-US"/>
      </w:rPr>
      <w:t xml:space="preserve"> </w:t>
    </w:r>
    <w:r w:rsidRPr="00410AFF">
      <w:rPr>
        <w:rFonts w:ascii="Times New Roman" w:hAnsi="Times New Roman"/>
        <w:i/>
        <w:sz w:val="16"/>
        <w:szCs w:val="16"/>
      </w:rPr>
      <w:t>1</w:t>
    </w:r>
    <w:r w:rsidRPr="00410AFF">
      <w:rPr>
        <w:rFonts w:ascii="Times New Roman" w:hAnsi="Times New Roman"/>
        <w:i/>
        <w:sz w:val="16"/>
        <w:szCs w:val="16"/>
        <w:lang w:val="en-US"/>
      </w:rPr>
      <w:t>3</w:t>
    </w:r>
    <w:r w:rsidRPr="00410AFF">
      <w:rPr>
        <w:rFonts w:ascii="Times New Roman" w:hAnsi="Times New Roman"/>
        <w:i/>
        <w:sz w:val="16"/>
        <w:szCs w:val="16"/>
      </w:rPr>
      <w:t>-</w:t>
    </w:r>
    <w:r w:rsidRPr="00410AFF">
      <w:rPr>
        <w:rFonts w:ascii="Times New Roman" w:hAnsi="Times New Roman"/>
        <w:i/>
        <w:sz w:val="16"/>
        <w:szCs w:val="16"/>
        <w:lang w:val="en-US"/>
      </w:rPr>
      <w:t>24</w:t>
    </w:r>
    <w:r w:rsidRPr="00410AFF">
      <w:rPr>
        <w:rFonts w:ascii="Times New Roman" w:hAnsi="Times New Roman"/>
        <w:i/>
        <w:sz w:val="16"/>
        <w:szCs w:val="16"/>
      </w:rPr>
      <w:t>-</w:t>
    </w:r>
    <w:r w:rsidRPr="00410AFF">
      <w:rPr>
        <w:rFonts w:ascii="Times New Roman" w:hAnsi="Times New Roman"/>
        <w:i/>
        <w:sz w:val="16"/>
        <w:szCs w:val="16"/>
        <w:lang w:val="en-US"/>
      </w:rPr>
      <w:t>2</w:t>
    </w:r>
    <w:r w:rsidRPr="00410AFF">
      <w:rPr>
        <w:rFonts w:ascii="Times New Roman" w:hAnsi="Times New Roman"/>
        <w:i/>
        <w:sz w:val="16"/>
        <w:szCs w:val="16"/>
      </w:rPr>
      <w:t>/</w:t>
    </w:r>
    <w:r w:rsidRPr="00410AFF">
      <w:rPr>
        <w:rFonts w:ascii="Times New Roman" w:hAnsi="Times New Roman"/>
        <w:i/>
        <w:sz w:val="16"/>
        <w:szCs w:val="16"/>
        <w:lang w:val="en-US"/>
      </w:rPr>
      <w:t>10</w:t>
    </w:r>
    <w:r w:rsidRPr="00410AFF">
      <w:rPr>
        <w:rFonts w:ascii="Times New Roman" w:hAnsi="Times New Roman"/>
        <w:i/>
        <w:sz w:val="16"/>
        <w:szCs w:val="16"/>
      </w:rPr>
      <w:t>.0</w:t>
    </w:r>
    <w:r w:rsidRPr="00410AFF">
      <w:rPr>
        <w:rFonts w:ascii="Times New Roman" w:hAnsi="Times New Roman"/>
        <w:i/>
        <w:sz w:val="16"/>
        <w:szCs w:val="16"/>
        <w:lang w:val="en-US"/>
      </w:rPr>
      <w:t>9</w:t>
    </w:r>
    <w:r w:rsidRPr="00410AFF">
      <w:rPr>
        <w:rFonts w:ascii="Times New Roman" w:hAnsi="Times New Roman"/>
        <w:i/>
        <w:sz w:val="16"/>
        <w:szCs w:val="16"/>
      </w:rPr>
      <w:t>.201</w:t>
    </w:r>
    <w:r w:rsidRPr="00410AFF">
      <w:rPr>
        <w:rFonts w:ascii="Times New Roman" w:hAnsi="Times New Roman"/>
        <w:i/>
        <w:sz w:val="16"/>
        <w:szCs w:val="16"/>
        <w:lang w:val="en-US"/>
      </w:rPr>
      <w:t>3</w:t>
    </w:r>
    <w:r>
      <w:rPr>
        <w:rFonts w:ascii="Times New Roman" w:hAnsi="Times New Roman"/>
        <w:i/>
        <w:sz w:val="16"/>
        <w:szCs w:val="16"/>
        <w:lang w:val="en-US"/>
      </w:rPr>
      <w:t xml:space="preserve"> </w:t>
    </w:r>
    <w:r>
      <w:rPr>
        <w:rFonts w:ascii="Times New Roman" w:hAnsi="Times New Roman"/>
        <w:i/>
        <w:sz w:val="16"/>
        <w:szCs w:val="16"/>
      </w:rPr>
      <w:t>г.,</w:t>
    </w:r>
    <w:r w:rsidRPr="00410AFF">
      <w:rPr>
        <w:rFonts w:ascii="Times New Roman" w:hAnsi="Times New Roman"/>
        <w:i/>
        <w:sz w:val="16"/>
        <w:szCs w:val="16"/>
      </w:rPr>
      <w:t xml:space="preserve"> финанс</w:t>
    </w:r>
    <w:r>
      <w:rPr>
        <w:rFonts w:ascii="Times New Roman" w:hAnsi="Times New Roman"/>
        <w:i/>
        <w:sz w:val="16"/>
        <w:szCs w:val="16"/>
      </w:rPr>
      <w:t xml:space="preserve">иран </w:t>
    </w:r>
    <w:r w:rsidRPr="00410AFF">
      <w:rPr>
        <w:rFonts w:ascii="Times New Roman" w:hAnsi="Times New Roman"/>
        <w:i/>
        <w:sz w:val="16"/>
        <w:szCs w:val="16"/>
      </w:rPr>
      <w:t>о</w:t>
    </w:r>
    <w:r>
      <w:rPr>
        <w:rFonts w:ascii="Times New Roman" w:hAnsi="Times New Roman"/>
        <w:i/>
        <w:sz w:val="16"/>
        <w:szCs w:val="16"/>
      </w:rPr>
      <w:t>т</w:t>
    </w:r>
    <w:r w:rsidRPr="00410AFF">
      <w:rPr>
        <w:rFonts w:ascii="Times New Roman" w:hAnsi="Times New Roman"/>
        <w:i/>
        <w:sz w:val="16"/>
        <w:szCs w:val="16"/>
      </w:rPr>
      <w:t xml:space="preserve"> Оперативна програма „Административен капацитет”, съфинансирана от Европейския съюз чрез Европейския социален фонд. </w:t>
    </w:r>
  </w:p>
  <w:p w:rsidR="00866C2E" w:rsidRDefault="00866C2E" w:rsidP="00866C2E">
    <w:pPr>
      <w:pStyle w:val="ac"/>
      <w:spacing w:after="0" w:line="240" w:lineRule="auto"/>
      <w:jc w:val="center"/>
      <w:rPr>
        <w:rFonts w:ascii="Times New Roman" w:hAnsi="Times New Roman"/>
        <w:lang w:val="en-US"/>
      </w:rPr>
    </w:pPr>
  </w:p>
  <w:p w:rsidR="00866C2E" w:rsidRPr="00410AFF" w:rsidRDefault="00866C2E" w:rsidP="00866C2E">
    <w:pPr>
      <w:pStyle w:val="ac"/>
      <w:spacing w:after="0" w:line="240" w:lineRule="auto"/>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sidR="00BB5480">
      <w:rPr>
        <w:rFonts w:ascii="Times New Roman" w:hAnsi="Times New Roman"/>
        <w:noProof/>
        <w:sz w:val="20"/>
        <w:szCs w:val="20"/>
      </w:rPr>
      <w:t>9</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37A0" w:rsidRDefault="007B37A0">
      <w:r>
        <w:separator/>
      </w:r>
    </w:p>
  </w:footnote>
  <w:footnote w:type="continuationSeparator" w:id="0">
    <w:p w:rsidR="007B37A0" w:rsidRDefault="007B37A0">
      <w:r>
        <w:continuationSeparator/>
      </w:r>
    </w:p>
  </w:footnote>
  <w:footnote w:id="1">
    <w:p w:rsidR="007B37A0" w:rsidRDefault="007B37A0">
      <w:pPr>
        <w:pStyle w:val="a7"/>
      </w:pPr>
      <w:r>
        <w:rPr>
          <w:rStyle w:val="a9"/>
        </w:rPr>
        <w:footnoteRef/>
      </w:r>
      <w:r>
        <w:t xml:space="preserve"> </w:t>
      </w:r>
      <w:r w:rsidRPr="003764E0">
        <w:t xml:space="preserve">Всички </w:t>
      </w:r>
      <w:r>
        <w:t>становища изразяват единствено личната позиция на автора.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C2E" w:rsidRPr="00BB5480" w:rsidRDefault="00BB5480" w:rsidP="00BB5480">
    <w:pPr>
      <w:jc w:val="center"/>
      <w:rPr>
        <w:lang w:val="en-US"/>
      </w:rPr>
    </w:pPr>
    <w:r w:rsidRPr="0008151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i1025" type="#_x0000_t75" alt="OPAK_Gray" style="width:424.5pt;height:59.25pt;visibility:visible">
          <v:imagedata r:id="rId1" o:title="OPAK_Gray"/>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12DBE"/>
    <w:multiLevelType w:val="hybridMultilevel"/>
    <w:tmpl w:val="6AAE264C"/>
    <w:lvl w:ilvl="0" w:tplc="7D16167A">
      <w:start w:val="1"/>
      <w:numFmt w:val="upperRoman"/>
      <w:lvlText w:val="%1."/>
      <w:lvlJc w:val="left"/>
      <w:pPr>
        <w:ind w:left="1080" w:hanging="720"/>
      </w:pPr>
      <w:rPr>
        <w:rFonts w:cs="Times New Roman" w:hint="default"/>
        <w:i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4C6870CE"/>
    <w:multiLevelType w:val="hybridMultilevel"/>
    <w:tmpl w:val="7186A39E"/>
    <w:lvl w:ilvl="0" w:tplc="9CB42002">
      <w:start w:val="5"/>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7AD9227D"/>
    <w:multiLevelType w:val="hybridMultilevel"/>
    <w:tmpl w:val="F550B10A"/>
    <w:lvl w:ilvl="0" w:tplc="3B106542">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5512"/>
    <w:rsid w:val="00001E4A"/>
    <w:rsid w:val="00011306"/>
    <w:rsid w:val="00016067"/>
    <w:rsid w:val="0001664B"/>
    <w:rsid w:val="00017EFA"/>
    <w:rsid w:val="0002148B"/>
    <w:rsid w:val="00022B87"/>
    <w:rsid w:val="0002486F"/>
    <w:rsid w:val="00024CFD"/>
    <w:rsid w:val="00036AE2"/>
    <w:rsid w:val="000464DA"/>
    <w:rsid w:val="00046C15"/>
    <w:rsid w:val="00047D0D"/>
    <w:rsid w:val="0005031B"/>
    <w:rsid w:val="000634A1"/>
    <w:rsid w:val="00064267"/>
    <w:rsid w:val="00070F26"/>
    <w:rsid w:val="0008023F"/>
    <w:rsid w:val="000827F6"/>
    <w:rsid w:val="000A05AF"/>
    <w:rsid w:val="000A1576"/>
    <w:rsid w:val="000A165B"/>
    <w:rsid w:val="000A44FA"/>
    <w:rsid w:val="000B36E9"/>
    <w:rsid w:val="000B3C1E"/>
    <w:rsid w:val="000C75BD"/>
    <w:rsid w:val="000D0411"/>
    <w:rsid w:val="000D648F"/>
    <w:rsid w:val="000E48EE"/>
    <w:rsid w:val="000F0CA5"/>
    <w:rsid w:val="001111B5"/>
    <w:rsid w:val="0011472D"/>
    <w:rsid w:val="001220EE"/>
    <w:rsid w:val="00127E6B"/>
    <w:rsid w:val="00131046"/>
    <w:rsid w:val="00132D09"/>
    <w:rsid w:val="001331BB"/>
    <w:rsid w:val="00136D28"/>
    <w:rsid w:val="0014235A"/>
    <w:rsid w:val="00146EC1"/>
    <w:rsid w:val="00157C03"/>
    <w:rsid w:val="0016687A"/>
    <w:rsid w:val="0017488C"/>
    <w:rsid w:val="00185573"/>
    <w:rsid w:val="00191F62"/>
    <w:rsid w:val="0019261E"/>
    <w:rsid w:val="001A0976"/>
    <w:rsid w:val="001B6DE1"/>
    <w:rsid w:val="001C1806"/>
    <w:rsid w:val="001E123F"/>
    <w:rsid w:val="001E2120"/>
    <w:rsid w:val="001E2D30"/>
    <w:rsid w:val="001E3984"/>
    <w:rsid w:val="001F14F3"/>
    <w:rsid w:val="00201B9C"/>
    <w:rsid w:val="002036EB"/>
    <w:rsid w:val="002122D5"/>
    <w:rsid w:val="002327DD"/>
    <w:rsid w:val="00232F23"/>
    <w:rsid w:val="002367B0"/>
    <w:rsid w:val="0025095C"/>
    <w:rsid w:val="0025357C"/>
    <w:rsid w:val="00257331"/>
    <w:rsid w:val="00267A43"/>
    <w:rsid w:val="002758B7"/>
    <w:rsid w:val="002830B7"/>
    <w:rsid w:val="0028565A"/>
    <w:rsid w:val="00292E82"/>
    <w:rsid w:val="00294DD2"/>
    <w:rsid w:val="002A7B7B"/>
    <w:rsid w:val="002A7CD1"/>
    <w:rsid w:val="002C1511"/>
    <w:rsid w:val="002D2891"/>
    <w:rsid w:val="002E24ED"/>
    <w:rsid w:val="002E407D"/>
    <w:rsid w:val="002E43C1"/>
    <w:rsid w:val="002F6782"/>
    <w:rsid w:val="002F6FCE"/>
    <w:rsid w:val="00303AE4"/>
    <w:rsid w:val="00305EAE"/>
    <w:rsid w:val="00310E28"/>
    <w:rsid w:val="003155A0"/>
    <w:rsid w:val="00323081"/>
    <w:rsid w:val="00323909"/>
    <w:rsid w:val="00327DC3"/>
    <w:rsid w:val="00333393"/>
    <w:rsid w:val="003460F2"/>
    <w:rsid w:val="003539EB"/>
    <w:rsid w:val="00364E30"/>
    <w:rsid w:val="00366016"/>
    <w:rsid w:val="003731D2"/>
    <w:rsid w:val="00375074"/>
    <w:rsid w:val="003764E0"/>
    <w:rsid w:val="0037712B"/>
    <w:rsid w:val="003919FF"/>
    <w:rsid w:val="00392601"/>
    <w:rsid w:val="00397ECD"/>
    <w:rsid w:val="003A24DB"/>
    <w:rsid w:val="003A30A2"/>
    <w:rsid w:val="003B77BF"/>
    <w:rsid w:val="003C1179"/>
    <w:rsid w:val="003C20EE"/>
    <w:rsid w:val="003C4F9E"/>
    <w:rsid w:val="003D3A4C"/>
    <w:rsid w:val="003F202A"/>
    <w:rsid w:val="003F37BF"/>
    <w:rsid w:val="003F3FDF"/>
    <w:rsid w:val="003F5878"/>
    <w:rsid w:val="003F6E69"/>
    <w:rsid w:val="003F7B2A"/>
    <w:rsid w:val="0040038A"/>
    <w:rsid w:val="00404584"/>
    <w:rsid w:val="004136FD"/>
    <w:rsid w:val="00413F15"/>
    <w:rsid w:val="00416A02"/>
    <w:rsid w:val="00417A4E"/>
    <w:rsid w:val="004314F3"/>
    <w:rsid w:val="00433415"/>
    <w:rsid w:val="00437D6B"/>
    <w:rsid w:val="00443456"/>
    <w:rsid w:val="00450162"/>
    <w:rsid w:val="00462459"/>
    <w:rsid w:val="00465512"/>
    <w:rsid w:val="00465AA7"/>
    <w:rsid w:val="00466702"/>
    <w:rsid w:val="00470527"/>
    <w:rsid w:val="004716EF"/>
    <w:rsid w:val="00495A58"/>
    <w:rsid w:val="004970EC"/>
    <w:rsid w:val="004B4B36"/>
    <w:rsid w:val="004B6606"/>
    <w:rsid w:val="004B7751"/>
    <w:rsid w:val="004C0FB2"/>
    <w:rsid w:val="004C4122"/>
    <w:rsid w:val="004C7652"/>
    <w:rsid w:val="004C784A"/>
    <w:rsid w:val="004D2BF4"/>
    <w:rsid w:val="004D5CFF"/>
    <w:rsid w:val="004E33A9"/>
    <w:rsid w:val="004F2C2B"/>
    <w:rsid w:val="004F3C19"/>
    <w:rsid w:val="00501C06"/>
    <w:rsid w:val="0051439B"/>
    <w:rsid w:val="0052261C"/>
    <w:rsid w:val="00525E81"/>
    <w:rsid w:val="005274B5"/>
    <w:rsid w:val="005378B1"/>
    <w:rsid w:val="00546634"/>
    <w:rsid w:val="0055102D"/>
    <w:rsid w:val="00552949"/>
    <w:rsid w:val="00555CE9"/>
    <w:rsid w:val="00562266"/>
    <w:rsid w:val="005646DE"/>
    <w:rsid w:val="00566E05"/>
    <w:rsid w:val="00570A9D"/>
    <w:rsid w:val="005776EC"/>
    <w:rsid w:val="00591114"/>
    <w:rsid w:val="005917AB"/>
    <w:rsid w:val="005953D7"/>
    <w:rsid w:val="005960E0"/>
    <w:rsid w:val="0059725E"/>
    <w:rsid w:val="005A148C"/>
    <w:rsid w:val="005A2661"/>
    <w:rsid w:val="005B0FFB"/>
    <w:rsid w:val="005C2200"/>
    <w:rsid w:val="005C30A5"/>
    <w:rsid w:val="005C5446"/>
    <w:rsid w:val="005C6B1C"/>
    <w:rsid w:val="005C7278"/>
    <w:rsid w:val="005D33EA"/>
    <w:rsid w:val="005D6B0E"/>
    <w:rsid w:val="005E153F"/>
    <w:rsid w:val="005F406B"/>
    <w:rsid w:val="005F66A8"/>
    <w:rsid w:val="00605FAF"/>
    <w:rsid w:val="00620A3C"/>
    <w:rsid w:val="006221D2"/>
    <w:rsid w:val="00622CD2"/>
    <w:rsid w:val="00625299"/>
    <w:rsid w:val="00644B7A"/>
    <w:rsid w:val="0065188D"/>
    <w:rsid w:val="00652922"/>
    <w:rsid w:val="0065533E"/>
    <w:rsid w:val="006576A4"/>
    <w:rsid w:val="0066090A"/>
    <w:rsid w:val="00667DA6"/>
    <w:rsid w:val="006720C7"/>
    <w:rsid w:val="00675F60"/>
    <w:rsid w:val="006764CC"/>
    <w:rsid w:val="00682270"/>
    <w:rsid w:val="00684671"/>
    <w:rsid w:val="00687E85"/>
    <w:rsid w:val="006930B6"/>
    <w:rsid w:val="006C13A4"/>
    <w:rsid w:val="006C62C2"/>
    <w:rsid w:val="006D0953"/>
    <w:rsid w:val="006D7A3C"/>
    <w:rsid w:val="006E06C2"/>
    <w:rsid w:val="006E4912"/>
    <w:rsid w:val="006E6E32"/>
    <w:rsid w:val="006E6E9E"/>
    <w:rsid w:val="006F1CA0"/>
    <w:rsid w:val="006F3239"/>
    <w:rsid w:val="006F54FE"/>
    <w:rsid w:val="007013DF"/>
    <w:rsid w:val="007014D4"/>
    <w:rsid w:val="007150EB"/>
    <w:rsid w:val="00715316"/>
    <w:rsid w:val="00716938"/>
    <w:rsid w:val="0072296A"/>
    <w:rsid w:val="00731DBA"/>
    <w:rsid w:val="0074384F"/>
    <w:rsid w:val="00743E26"/>
    <w:rsid w:val="00750366"/>
    <w:rsid w:val="007525FE"/>
    <w:rsid w:val="00755F1D"/>
    <w:rsid w:val="00762834"/>
    <w:rsid w:val="00762E72"/>
    <w:rsid w:val="007726BC"/>
    <w:rsid w:val="0077347C"/>
    <w:rsid w:val="00781351"/>
    <w:rsid w:val="00781E50"/>
    <w:rsid w:val="007958D4"/>
    <w:rsid w:val="007A025A"/>
    <w:rsid w:val="007A416F"/>
    <w:rsid w:val="007B37A0"/>
    <w:rsid w:val="007B41E1"/>
    <w:rsid w:val="007B5E9F"/>
    <w:rsid w:val="007C0713"/>
    <w:rsid w:val="007C5276"/>
    <w:rsid w:val="007D4497"/>
    <w:rsid w:val="007E4BDA"/>
    <w:rsid w:val="007F2ABC"/>
    <w:rsid w:val="007F3755"/>
    <w:rsid w:val="00814F5C"/>
    <w:rsid w:val="00837F14"/>
    <w:rsid w:val="00841D60"/>
    <w:rsid w:val="00852F14"/>
    <w:rsid w:val="00853BA8"/>
    <w:rsid w:val="00856BB3"/>
    <w:rsid w:val="008614CA"/>
    <w:rsid w:val="00866C2E"/>
    <w:rsid w:val="00866F85"/>
    <w:rsid w:val="0087350E"/>
    <w:rsid w:val="00884B7E"/>
    <w:rsid w:val="008873D4"/>
    <w:rsid w:val="008969F3"/>
    <w:rsid w:val="008A106E"/>
    <w:rsid w:val="008A1B39"/>
    <w:rsid w:val="008A2F55"/>
    <w:rsid w:val="008A3C68"/>
    <w:rsid w:val="008A595C"/>
    <w:rsid w:val="008A671E"/>
    <w:rsid w:val="008C3E81"/>
    <w:rsid w:val="008C52E3"/>
    <w:rsid w:val="008D3B29"/>
    <w:rsid w:val="008D4B6E"/>
    <w:rsid w:val="008D5E4C"/>
    <w:rsid w:val="008F2EFC"/>
    <w:rsid w:val="00906A22"/>
    <w:rsid w:val="009136E2"/>
    <w:rsid w:val="00913DE6"/>
    <w:rsid w:val="0091437D"/>
    <w:rsid w:val="00914D26"/>
    <w:rsid w:val="00915356"/>
    <w:rsid w:val="00922648"/>
    <w:rsid w:val="00926011"/>
    <w:rsid w:val="00933064"/>
    <w:rsid w:val="00934089"/>
    <w:rsid w:val="00950632"/>
    <w:rsid w:val="009569B6"/>
    <w:rsid w:val="00957958"/>
    <w:rsid w:val="0096127C"/>
    <w:rsid w:val="009623DB"/>
    <w:rsid w:val="00965FF9"/>
    <w:rsid w:val="00976B2A"/>
    <w:rsid w:val="00981ACA"/>
    <w:rsid w:val="00982E64"/>
    <w:rsid w:val="00991524"/>
    <w:rsid w:val="009B1B2D"/>
    <w:rsid w:val="009B3DB7"/>
    <w:rsid w:val="009C0D74"/>
    <w:rsid w:val="009C7E7C"/>
    <w:rsid w:val="009F06E0"/>
    <w:rsid w:val="00A00FCA"/>
    <w:rsid w:val="00A01241"/>
    <w:rsid w:val="00A05DC5"/>
    <w:rsid w:val="00A05E34"/>
    <w:rsid w:val="00A16E93"/>
    <w:rsid w:val="00A262F2"/>
    <w:rsid w:val="00A3076E"/>
    <w:rsid w:val="00A36335"/>
    <w:rsid w:val="00A612AB"/>
    <w:rsid w:val="00A6507B"/>
    <w:rsid w:val="00A76656"/>
    <w:rsid w:val="00A80CAC"/>
    <w:rsid w:val="00A92A83"/>
    <w:rsid w:val="00A92B1B"/>
    <w:rsid w:val="00A94D97"/>
    <w:rsid w:val="00AA03B7"/>
    <w:rsid w:val="00AA49D7"/>
    <w:rsid w:val="00AA6F06"/>
    <w:rsid w:val="00AB1B33"/>
    <w:rsid w:val="00AD3E94"/>
    <w:rsid w:val="00AD5F33"/>
    <w:rsid w:val="00AE22A4"/>
    <w:rsid w:val="00AE7F89"/>
    <w:rsid w:val="00AF4754"/>
    <w:rsid w:val="00B003FD"/>
    <w:rsid w:val="00B0062E"/>
    <w:rsid w:val="00B03BB0"/>
    <w:rsid w:val="00B1150E"/>
    <w:rsid w:val="00B1786D"/>
    <w:rsid w:val="00B27F32"/>
    <w:rsid w:val="00B44658"/>
    <w:rsid w:val="00B44D7B"/>
    <w:rsid w:val="00B631B3"/>
    <w:rsid w:val="00B6396C"/>
    <w:rsid w:val="00B82CC2"/>
    <w:rsid w:val="00B8724D"/>
    <w:rsid w:val="00B87F20"/>
    <w:rsid w:val="00B93A5A"/>
    <w:rsid w:val="00B9699E"/>
    <w:rsid w:val="00B96CF5"/>
    <w:rsid w:val="00BA7CEE"/>
    <w:rsid w:val="00BB2BDD"/>
    <w:rsid w:val="00BB2CA0"/>
    <w:rsid w:val="00BB5480"/>
    <w:rsid w:val="00BC313A"/>
    <w:rsid w:val="00BC62D3"/>
    <w:rsid w:val="00BD167B"/>
    <w:rsid w:val="00BD2B80"/>
    <w:rsid w:val="00BF1945"/>
    <w:rsid w:val="00BF6BC7"/>
    <w:rsid w:val="00C00559"/>
    <w:rsid w:val="00C0146B"/>
    <w:rsid w:val="00C029CD"/>
    <w:rsid w:val="00C13511"/>
    <w:rsid w:val="00C159FB"/>
    <w:rsid w:val="00C27D3D"/>
    <w:rsid w:val="00C329C3"/>
    <w:rsid w:val="00C35C5B"/>
    <w:rsid w:val="00C3607A"/>
    <w:rsid w:val="00C46A67"/>
    <w:rsid w:val="00C51A19"/>
    <w:rsid w:val="00C621F9"/>
    <w:rsid w:val="00C6683D"/>
    <w:rsid w:val="00C66ABE"/>
    <w:rsid w:val="00C70FC8"/>
    <w:rsid w:val="00C73738"/>
    <w:rsid w:val="00C80BC3"/>
    <w:rsid w:val="00C81AEA"/>
    <w:rsid w:val="00C8727B"/>
    <w:rsid w:val="00C87C01"/>
    <w:rsid w:val="00C92B83"/>
    <w:rsid w:val="00C96AE1"/>
    <w:rsid w:val="00CB2A40"/>
    <w:rsid w:val="00CB381D"/>
    <w:rsid w:val="00CB6231"/>
    <w:rsid w:val="00CC625D"/>
    <w:rsid w:val="00CD0641"/>
    <w:rsid w:val="00CE382B"/>
    <w:rsid w:val="00CE65C1"/>
    <w:rsid w:val="00CF2E33"/>
    <w:rsid w:val="00D01BCF"/>
    <w:rsid w:val="00D14222"/>
    <w:rsid w:val="00D14617"/>
    <w:rsid w:val="00D22E29"/>
    <w:rsid w:val="00D26C29"/>
    <w:rsid w:val="00D347D1"/>
    <w:rsid w:val="00D44E74"/>
    <w:rsid w:val="00D46B64"/>
    <w:rsid w:val="00D50B45"/>
    <w:rsid w:val="00D54B63"/>
    <w:rsid w:val="00D62302"/>
    <w:rsid w:val="00D62C9F"/>
    <w:rsid w:val="00D670F5"/>
    <w:rsid w:val="00D93E64"/>
    <w:rsid w:val="00D9604B"/>
    <w:rsid w:val="00D9755D"/>
    <w:rsid w:val="00DA396A"/>
    <w:rsid w:val="00DB4F39"/>
    <w:rsid w:val="00DC3B5C"/>
    <w:rsid w:val="00DD1617"/>
    <w:rsid w:val="00DD76F7"/>
    <w:rsid w:val="00DE2D61"/>
    <w:rsid w:val="00DE5EC3"/>
    <w:rsid w:val="00DF6DC1"/>
    <w:rsid w:val="00E04C0E"/>
    <w:rsid w:val="00E04ECA"/>
    <w:rsid w:val="00E10366"/>
    <w:rsid w:val="00E20D42"/>
    <w:rsid w:val="00E45F82"/>
    <w:rsid w:val="00E46DF9"/>
    <w:rsid w:val="00E47EA8"/>
    <w:rsid w:val="00E47FF2"/>
    <w:rsid w:val="00E52654"/>
    <w:rsid w:val="00E645E6"/>
    <w:rsid w:val="00E71D73"/>
    <w:rsid w:val="00E74CC4"/>
    <w:rsid w:val="00E86D26"/>
    <w:rsid w:val="00E93AB2"/>
    <w:rsid w:val="00EA2432"/>
    <w:rsid w:val="00EB0A2A"/>
    <w:rsid w:val="00EB4EAD"/>
    <w:rsid w:val="00EC05BC"/>
    <w:rsid w:val="00EC0CDB"/>
    <w:rsid w:val="00EC4818"/>
    <w:rsid w:val="00ED4EE4"/>
    <w:rsid w:val="00ED5D1D"/>
    <w:rsid w:val="00ED6FA1"/>
    <w:rsid w:val="00EE43FB"/>
    <w:rsid w:val="00EE7294"/>
    <w:rsid w:val="00EF05B8"/>
    <w:rsid w:val="00EF11BD"/>
    <w:rsid w:val="00EF53A8"/>
    <w:rsid w:val="00F02D86"/>
    <w:rsid w:val="00F233AC"/>
    <w:rsid w:val="00F25A67"/>
    <w:rsid w:val="00F375CB"/>
    <w:rsid w:val="00F4103B"/>
    <w:rsid w:val="00F42B0F"/>
    <w:rsid w:val="00F50C5D"/>
    <w:rsid w:val="00F61707"/>
    <w:rsid w:val="00F709E2"/>
    <w:rsid w:val="00F87328"/>
    <w:rsid w:val="00F878A6"/>
    <w:rsid w:val="00F955EB"/>
    <w:rsid w:val="00FA2A91"/>
    <w:rsid w:val="00FA3CC9"/>
    <w:rsid w:val="00FA6606"/>
    <w:rsid w:val="00FA7671"/>
    <w:rsid w:val="00FB16DE"/>
    <w:rsid w:val="00FB2052"/>
    <w:rsid w:val="00FB23C9"/>
    <w:rsid w:val="00FB50DF"/>
    <w:rsid w:val="00FB6683"/>
    <w:rsid w:val="00FC10B9"/>
    <w:rsid w:val="00FC5B31"/>
    <w:rsid w:val="00FE0C0E"/>
    <w:rsid w:val="00FE1DE7"/>
    <w:rsid w:val="00FE1F47"/>
    <w:rsid w:val="00FE2FB5"/>
    <w:rsid w:val="00FE4E2F"/>
    <w:rsid w:val="00FE63F2"/>
    <w:rsid w:val="00FE6A51"/>
    <w:rsid w:val="00FF2261"/>
    <w:rsid w:val="00FF595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0B6"/>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87C01"/>
    <w:pPr>
      <w:ind w:left="720"/>
      <w:contextualSpacing/>
    </w:pPr>
  </w:style>
  <w:style w:type="paragraph" w:styleId="a4">
    <w:name w:val="Balloon Text"/>
    <w:basedOn w:val="a"/>
    <w:link w:val="a5"/>
    <w:uiPriority w:val="99"/>
    <w:semiHidden/>
    <w:rsid w:val="000A165B"/>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locked/>
    <w:rsid w:val="000A165B"/>
    <w:rPr>
      <w:rFonts w:ascii="Tahoma" w:hAnsi="Tahoma" w:cs="Tahoma"/>
      <w:sz w:val="16"/>
      <w:szCs w:val="16"/>
    </w:rPr>
  </w:style>
  <w:style w:type="paragraph" w:styleId="a6">
    <w:name w:val="Normal (Web)"/>
    <w:basedOn w:val="a"/>
    <w:uiPriority w:val="99"/>
    <w:semiHidden/>
    <w:rsid w:val="00CE65C1"/>
    <w:rPr>
      <w:rFonts w:ascii="Times New Roman" w:hAnsi="Times New Roman"/>
      <w:sz w:val="24"/>
      <w:szCs w:val="24"/>
    </w:rPr>
  </w:style>
  <w:style w:type="paragraph" w:styleId="a7">
    <w:name w:val="footnote text"/>
    <w:basedOn w:val="a"/>
    <w:link w:val="a8"/>
    <w:uiPriority w:val="99"/>
    <w:semiHidden/>
    <w:rsid w:val="00AA6F06"/>
    <w:rPr>
      <w:sz w:val="20"/>
      <w:szCs w:val="20"/>
    </w:rPr>
  </w:style>
  <w:style w:type="character" w:customStyle="1" w:styleId="a8">
    <w:name w:val="Текст под линия Знак"/>
    <w:basedOn w:val="a0"/>
    <w:link w:val="a7"/>
    <w:uiPriority w:val="99"/>
    <w:semiHidden/>
    <w:rsid w:val="0049379C"/>
    <w:rPr>
      <w:sz w:val="20"/>
      <w:szCs w:val="20"/>
      <w:lang w:eastAsia="en-US"/>
    </w:rPr>
  </w:style>
  <w:style w:type="character" w:styleId="a9">
    <w:name w:val="footnote reference"/>
    <w:basedOn w:val="a0"/>
    <w:uiPriority w:val="99"/>
    <w:semiHidden/>
    <w:rsid w:val="00AA6F06"/>
    <w:rPr>
      <w:rFonts w:cs="Times New Roman"/>
      <w:vertAlign w:val="superscript"/>
    </w:rPr>
  </w:style>
  <w:style w:type="paragraph" w:styleId="aa">
    <w:name w:val="header"/>
    <w:basedOn w:val="a"/>
    <w:link w:val="ab"/>
    <w:uiPriority w:val="99"/>
    <w:semiHidden/>
    <w:unhideWhenUsed/>
    <w:rsid w:val="00866C2E"/>
    <w:pPr>
      <w:tabs>
        <w:tab w:val="center" w:pos="4536"/>
        <w:tab w:val="right" w:pos="9072"/>
      </w:tabs>
    </w:pPr>
  </w:style>
  <w:style w:type="character" w:customStyle="1" w:styleId="ab">
    <w:name w:val="Горен колонтитул Знак"/>
    <w:basedOn w:val="a0"/>
    <w:link w:val="aa"/>
    <w:uiPriority w:val="99"/>
    <w:semiHidden/>
    <w:rsid w:val="00866C2E"/>
    <w:rPr>
      <w:lang w:eastAsia="en-US"/>
    </w:rPr>
  </w:style>
  <w:style w:type="paragraph" w:styleId="ac">
    <w:name w:val="footer"/>
    <w:basedOn w:val="a"/>
    <w:link w:val="ad"/>
    <w:unhideWhenUsed/>
    <w:rsid w:val="00866C2E"/>
    <w:pPr>
      <w:tabs>
        <w:tab w:val="center" w:pos="4536"/>
        <w:tab w:val="right" w:pos="9072"/>
      </w:tabs>
    </w:pPr>
  </w:style>
  <w:style w:type="character" w:customStyle="1" w:styleId="ad">
    <w:name w:val="Долен колонтитул Знак"/>
    <w:basedOn w:val="a0"/>
    <w:link w:val="ac"/>
    <w:uiPriority w:val="99"/>
    <w:rsid w:val="00866C2E"/>
    <w:rPr>
      <w:lang w:eastAsia="en-US"/>
    </w:rPr>
  </w:style>
</w:styles>
</file>

<file path=word/webSettings.xml><?xml version="1.0" encoding="utf-8"?>
<w:webSettings xmlns:r="http://schemas.openxmlformats.org/officeDocument/2006/relationships" xmlns:w="http://schemas.openxmlformats.org/wordprocessingml/2006/main">
  <w:divs>
    <w:div w:id="178545637">
      <w:marLeft w:val="0"/>
      <w:marRight w:val="0"/>
      <w:marTop w:val="0"/>
      <w:marBottom w:val="0"/>
      <w:divBdr>
        <w:top w:val="none" w:sz="0" w:space="0" w:color="auto"/>
        <w:left w:val="none" w:sz="0" w:space="0" w:color="auto"/>
        <w:bottom w:val="none" w:sz="0" w:space="0" w:color="auto"/>
        <w:right w:val="none" w:sz="0" w:space="0" w:color="auto"/>
      </w:divBdr>
    </w:div>
    <w:div w:id="178545638">
      <w:marLeft w:val="0"/>
      <w:marRight w:val="0"/>
      <w:marTop w:val="0"/>
      <w:marBottom w:val="0"/>
      <w:divBdr>
        <w:top w:val="none" w:sz="0" w:space="0" w:color="auto"/>
        <w:left w:val="none" w:sz="0" w:space="0" w:color="auto"/>
        <w:bottom w:val="none" w:sz="0" w:space="0" w:color="auto"/>
        <w:right w:val="none" w:sz="0" w:space="0" w:color="auto"/>
      </w:divBdr>
      <w:divsChild>
        <w:div w:id="178545639">
          <w:marLeft w:val="0"/>
          <w:marRight w:val="0"/>
          <w:marTop w:val="0"/>
          <w:marBottom w:val="0"/>
          <w:divBdr>
            <w:top w:val="none" w:sz="0" w:space="0" w:color="auto"/>
            <w:left w:val="none" w:sz="0" w:space="0" w:color="auto"/>
            <w:bottom w:val="none" w:sz="0" w:space="0" w:color="auto"/>
            <w:right w:val="none" w:sz="0" w:space="0" w:color="auto"/>
          </w:divBdr>
        </w:div>
        <w:div w:id="178545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9030</Words>
  <Characters>52587</Characters>
  <Application>Microsoft Office Word</Application>
  <DocSecurity>0</DocSecurity>
  <Lines>438</Lines>
  <Paragraphs>122</Paragraphs>
  <ScaleCrop>false</ScaleCrop>
  <Company/>
  <LinksUpToDate>false</LinksUpToDate>
  <CharactersWithSpaces>61495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Принципът на равно третиране и Съдът на Европейския съюз</dc:title>
  <dc:subject/>
  <dc:creator>PC</dc:creator>
  <cp:keywords/>
  <dc:description/>
  <cp:lastModifiedBy>S</cp:lastModifiedBy>
  <cp:revision>14</cp:revision>
  <dcterms:created xsi:type="dcterms:W3CDTF">2014-02-25T09:18:00Z</dcterms:created>
  <dcterms:modified xsi:type="dcterms:W3CDTF">2014-02-27T07:39:00Z</dcterms:modified>
</cp:coreProperties>
</file>